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54" w:rsidRDefault="00C757F7" w:rsidP="00C757F7">
      <w:pPr>
        <w:shd w:val="clear" w:color="auto" w:fill="FEFFFF"/>
        <w:spacing w:line="360" w:lineRule="auto"/>
        <w:ind w:firstLine="354"/>
        <w:jc w:val="center"/>
        <w:outlineLvl w:val="0"/>
        <w:rPr>
          <w:rFonts w:ascii="Verdana" w:eastAsia="Verdana" w:hAnsi="Verdana" w:cs="Verdana"/>
          <w:b/>
          <w:color w:val="000000" w:themeColor="text1"/>
          <w:sz w:val="20"/>
          <w:szCs w:val="20"/>
        </w:rPr>
      </w:pPr>
      <w:r w:rsidRPr="00F10358">
        <w:rPr>
          <w:rFonts w:ascii="Verdana" w:eastAsia="Verdana" w:hAnsi="Verdana" w:cs="Verdana"/>
          <w:b/>
          <w:color w:val="000000" w:themeColor="text1"/>
          <w:sz w:val="20"/>
          <w:szCs w:val="20"/>
        </w:rPr>
        <w:t>Referto sulla “Gestione del servizio esternalizzato di assistenza farmaceutica a mezzo del Consorzio intercomunale per i servizi socio sanitari C.I.S.S.”</w:t>
      </w:r>
    </w:p>
    <w:p w:rsidR="004C5130" w:rsidRDefault="004C5130" w:rsidP="004C5130">
      <w:pPr>
        <w:shd w:val="clear" w:color="auto" w:fill="FEFFFF"/>
        <w:spacing w:line="360" w:lineRule="auto"/>
        <w:ind w:firstLine="354"/>
        <w:outlineLvl w:val="0"/>
        <w:rPr>
          <w:rFonts w:ascii="Verdana" w:eastAsia="Verdana" w:hAnsi="Verdana" w:cs="Verdana"/>
          <w:b/>
          <w:color w:val="000000" w:themeColor="text1"/>
          <w:sz w:val="20"/>
          <w:szCs w:val="20"/>
        </w:rPr>
      </w:pPr>
    </w:p>
    <w:p w:rsidR="004C5130" w:rsidRPr="004C5130" w:rsidRDefault="004C5130" w:rsidP="004C5130">
      <w:pPr>
        <w:shd w:val="clear" w:color="auto" w:fill="FEFFFF"/>
        <w:spacing w:line="360" w:lineRule="auto"/>
        <w:ind w:firstLine="354"/>
        <w:outlineLvl w:val="0"/>
        <w:rPr>
          <w:rFonts w:ascii="Verdana" w:eastAsia="Verdana" w:hAnsi="Verdana" w:cs="Verdana"/>
          <w:i/>
          <w:color w:val="000000" w:themeColor="text1"/>
          <w:sz w:val="20"/>
          <w:szCs w:val="20"/>
        </w:rPr>
      </w:pPr>
      <w:r w:rsidRPr="004C5130">
        <w:rPr>
          <w:rFonts w:ascii="Verdana" w:eastAsia="Verdana" w:hAnsi="Verdana" w:cs="Verdana"/>
          <w:i/>
          <w:color w:val="000000" w:themeColor="text1"/>
          <w:sz w:val="20"/>
          <w:szCs w:val="20"/>
        </w:rPr>
        <w:t>Relatore</w:t>
      </w:r>
      <w:r w:rsidR="000E34ED">
        <w:rPr>
          <w:rFonts w:ascii="Verdana" w:eastAsia="Verdana" w:hAnsi="Verdana" w:cs="Verdana"/>
          <w:i/>
          <w:color w:val="000000" w:themeColor="text1"/>
          <w:sz w:val="20"/>
          <w:szCs w:val="20"/>
        </w:rPr>
        <w:t xml:space="preserve"> ed estensore</w:t>
      </w:r>
      <w:r w:rsidRPr="004C5130">
        <w:rPr>
          <w:rFonts w:ascii="Verdana" w:eastAsia="Verdana" w:hAnsi="Verdana" w:cs="Verdana"/>
          <w:i/>
          <w:color w:val="000000" w:themeColor="text1"/>
          <w:sz w:val="20"/>
          <w:szCs w:val="20"/>
        </w:rPr>
        <w:t xml:space="preserve">: Primo referendario Francesco Sucameli </w:t>
      </w:r>
    </w:p>
    <w:p w:rsidR="004C5130" w:rsidRPr="004C5130" w:rsidRDefault="004C5130" w:rsidP="004C5130">
      <w:pPr>
        <w:shd w:val="clear" w:color="auto" w:fill="FEFFFF"/>
        <w:spacing w:line="360" w:lineRule="auto"/>
        <w:ind w:firstLine="354"/>
        <w:outlineLvl w:val="0"/>
        <w:rPr>
          <w:rFonts w:ascii="Verdana" w:eastAsia="Verdana" w:hAnsi="Verdana" w:cs="Verdana"/>
          <w:b/>
          <w:i/>
          <w:color w:val="000000" w:themeColor="text1"/>
          <w:sz w:val="20"/>
          <w:szCs w:val="20"/>
        </w:rPr>
      </w:pPr>
    </w:p>
    <w:p w:rsidR="00313D33" w:rsidRPr="00F10358" w:rsidRDefault="00271EDC" w:rsidP="003042BA">
      <w:pPr>
        <w:shd w:val="clear" w:color="auto" w:fill="FEFFFF"/>
        <w:spacing w:line="360" w:lineRule="auto"/>
        <w:ind w:firstLine="354"/>
        <w:jc w:val="center"/>
        <w:outlineLvl w:val="0"/>
        <w:rPr>
          <w:rFonts w:ascii="Verdana" w:eastAsia="Verdana" w:hAnsi="Verdana" w:cs="Verdana"/>
          <w:b/>
          <w:color w:val="000000" w:themeColor="text1"/>
          <w:sz w:val="20"/>
          <w:szCs w:val="20"/>
        </w:rPr>
      </w:pPr>
      <w:r w:rsidRPr="00F10358">
        <w:rPr>
          <w:rFonts w:ascii="Verdana" w:eastAsia="Verdana" w:hAnsi="Verdana" w:cs="Verdana"/>
          <w:b/>
          <w:color w:val="000000" w:themeColor="text1"/>
          <w:sz w:val="20"/>
          <w:szCs w:val="20"/>
        </w:rPr>
        <w:t xml:space="preserve">IN </w:t>
      </w:r>
      <w:r w:rsidR="00965BFA" w:rsidRPr="00F10358">
        <w:rPr>
          <w:rFonts w:ascii="Verdana" w:eastAsia="Verdana" w:hAnsi="Verdana" w:cs="Verdana"/>
          <w:b/>
          <w:color w:val="000000" w:themeColor="text1"/>
          <w:sz w:val="20"/>
          <w:szCs w:val="20"/>
        </w:rPr>
        <w:t xml:space="preserve">FATTO </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b/>
          <w:bCs/>
          <w:color w:val="000000" w:themeColor="text1"/>
          <w:sz w:val="20"/>
          <w:szCs w:val="20"/>
        </w:rPr>
        <w:t>1.</w:t>
      </w:r>
      <w:r w:rsidRPr="00F10358">
        <w:rPr>
          <w:rFonts w:ascii="Verdana" w:hAnsi="Verdana"/>
          <w:color w:val="000000" w:themeColor="text1"/>
          <w:sz w:val="20"/>
          <w:szCs w:val="20"/>
        </w:rPr>
        <w:t xml:space="preserve"> </w:t>
      </w:r>
      <w:r w:rsidRPr="00F10358">
        <w:rPr>
          <w:rFonts w:ascii="Verdana" w:hAnsi="Verdana"/>
          <w:b/>
          <w:color w:val="000000" w:themeColor="text1"/>
          <w:sz w:val="20"/>
          <w:szCs w:val="20"/>
        </w:rPr>
        <w:t>La base normativa, i soggetti e l’oggetto dell’attività di controllo.</w:t>
      </w:r>
      <w:r w:rsidRPr="00F10358">
        <w:rPr>
          <w:rFonts w:ascii="Verdana" w:hAnsi="Verdana"/>
          <w:color w:val="000000" w:themeColor="text1"/>
          <w:sz w:val="20"/>
          <w:szCs w:val="20"/>
        </w:rPr>
        <w:t xml:space="preserve"> Nell’ambito degli ordinari controlli effettuati sui bilanci dei comuni in epigrafe, ai sensi dell’art. 148-bis TUEL, è emersa una gestione associata del servizio di assistenza farmaceutica a mezzo della società mista </w:t>
      </w:r>
      <w:r w:rsidR="003B4079">
        <w:rPr>
          <w:rFonts w:ascii="Verdana" w:hAnsi="Verdana"/>
          <w:color w:val="000000" w:themeColor="text1"/>
          <w:sz w:val="20"/>
          <w:szCs w:val="20"/>
        </w:rPr>
        <w:t>INCO</w:t>
      </w:r>
      <w:r w:rsidR="005C473B">
        <w:rPr>
          <w:rFonts w:ascii="Verdana" w:hAnsi="Verdana"/>
          <w:color w:val="000000" w:themeColor="text1"/>
          <w:sz w:val="20"/>
          <w:szCs w:val="20"/>
        </w:rPr>
        <w:t>.</w:t>
      </w:r>
      <w:r w:rsidR="003B4079">
        <w:rPr>
          <w:rFonts w:ascii="Verdana" w:hAnsi="Verdana"/>
          <w:color w:val="000000" w:themeColor="text1"/>
          <w:sz w:val="20"/>
          <w:szCs w:val="20"/>
        </w:rPr>
        <w:t>FARMA</w:t>
      </w:r>
      <w:r w:rsidRPr="00F10358">
        <w:rPr>
          <w:rFonts w:ascii="Verdana" w:hAnsi="Verdana"/>
          <w:color w:val="000000" w:themeColor="text1"/>
          <w:sz w:val="20"/>
          <w:szCs w:val="20"/>
        </w:rPr>
        <w:t xml:space="preserve"> </w:t>
      </w:r>
      <w:proofErr w:type="spellStart"/>
      <w:r w:rsidRPr="00F10358">
        <w:rPr>
          <w:rFonts w:ascii="Verdana" w:hAnsi="Verdana"/>
          <w:color w:val="000000" w:themeColor="text1"/>
          <w:sz w:val="20"/>
          <w:szCs w:val="20"/>
        </w:rPr>
        <w:t>s.p.a.</w:t>
      </w:r>
      <w:proofErr w:type="spellEnd"/>
      <w:r w:rsidRPr="00F10358">
        <w:rPr>
          <w:rFonts w:ascii="Verdana" w:hAnsi="Verdana"/>
          <w:color w:val="000000" w:themeColor="text1"/>
          <w:sz w:val="20"/>
          <w:szCs w:val="20"/>
        </w:rPr>
        <w:t xml:space="preserve"> (di seguito </w:t>
      </w:r>
      <w:r w:rsidR="003B4079">
        <w:rPr>
          <w:rFonts w:ascii="Verdana" w:hAnsi="Verdana"/>
          <w:color w:val="000000" w:themeColor="text1"/>
          <w:sz w:val="20"/>
          <w:szCs w:val="20"/>
        </w:rPr>
        <w:t>INCOFARMA</w:t>
      </w:r>
      <w:r w:rsidRPr="00F10358">
        <w:rPr>
          <w:rFonts w:ascii="Verdana" w:hAnsi="Verdana"/>
          <w:color w:val="000000" w:themeColor="text1"/>
          <w:sz w:val="20"/>
          <w:szCs w:val="20"/>
        </w:rPr>
        <w:t>), società partecipata al 75% dal socio privato SOC.I.GE.SS</w:t>
      </w:r>
      <w:r w:rsidR="002806D9" w:rsidRPr="00F10358">
        <w:rPr>
          <w:rFonts w:ascii="Verdana" w:hAnsi="Verdana"/>
          <w:color w:val="000000" w:themeColor="text1"/>
          <w:sz w:val="20"/>
          <w:szCs w:val="20"/>
        </w:rPr>
        <w:t xml:space="preserve"> (di</w:t>
      </w:r>
      <w:r w:rsidRPr="00F10358">
        <w:rPr>
          <w:rFonts w:ascii="Verdana" w:hAnsi="Verdana"/>
          <w:color w:val="000000" w:themeColor="text1"/>
          <w:sz w:val="20"/>
          <w:szCs w:val="20"/>
        </w:rPr>
        <w:t xml:space="preserve"> seguito SOCIGESS)</w:t>
      </w:r>
      <w:r w:rsidR="002B243F">
        <w:rPr>
          <w:rFonts w:ascii="Verdana" w:hAnsi="Verdana"/>
          <w:color w:val="000000" w:themeColor="text1"/>
          <w:sz w:val="20"/>
          <w:szCs w:val="20"/>
        </w:rPr>
        <w:t xml:space="preserve"> e per il restante 25% dai comuni suddetti, indirettamente, a mezzo del </w:t>
      </w:r>
      <w:r w:rsidR="002B243F" w:rsidRPr="00F10358">
        <w:rPr>
          <w:rFonts w:ascii="Verdana" w:hAnsi="Verdana"/>
          <w:i/>
          <w:iCs/>
          <w:color w:val="000000" w:themeColor="text1"/>
          <w:sz w:val="20"/>
          <w:szCs w:val="20"/>
        </w:rPr>
        <w:t xml:space="preserve">Consorzio intercomunale per i servizi sociosanitari </w:t>
      </w:r>
      <w:r w:rsidR="002B243F" w:rsidRPr="00F10358">
        <w:rPr>
          <w:rFonts w:ascii="Verdana" w:hAnsi="Verdana"/>
          <w:color w:val="000000" w:themeColor="text1"/>
          <w:sz w:val="20"/>
          <w:szCs w:val="20"/>
        </w:rPr>
        <w:t>(di seguito CISS)</w:t>
      </w:r>
      <w:r w:rsidRPr="00F10358">
        <w:rPr>
          <w:rFonts w:ascii="Verdana" w:hAnsi="Verdana"/>
          <w:color w:val="000000" w:themeColor="text1"/>
          <w:sz w:val="20"/>
          <w:szCs w:val="20"/>
        </w:rPr>
        <w:t>.</w:t>
      </w:r>
    </w:p>
    <w:p w:rsidR="003F31B5" w:rsidRPr="00F10358" w:rsidRDefault="002B243F" w:rsidP="003F31B5">
      <w:pPr>
        <w:shd w:val="clear" w:color="auto" w:fill="FEFFFF"/>
        <w:spacing w:line="360" w:lineRule="auto"/>
        <w:ind w:firstLine="354"/>
        <w:jc w:val="both"/>
        <w:rPr>
          <w:rFonts w:ascii="Verdana" w:hAnsi="Verdana"/>
          <w:color w:val="000000" w:themeColor="text1"/>
          <w:sz w:val="20"/>
          <w:szCs w:val="20"/>
        </w:rPr>
      </w:pPr>
      <w:r>
        <w:rPr>
          <w:rFonts w:ascii="Verdana" w:hAnsi="Verdana"/>
          <w:color w:val="000000" w:themeColor="text1"/>
          <w:sz w:val="20"/>
          <w:szCs w:val="20"/>
        </w:rPr>
        <w:t xml:space="preserve">Il </w:t>
      </w:r>
      <w:proofErr w:type="gramStart"/>
      <w:r>
        <w:rPr>
          <w:rFonts w:ascii="Verdana" w:hAnsi="Verdana"/>
          <w:color w:val="000000" w:themeColor="text1"/>
          <w:sz w:val="20"/>
          <w:szCs w:val="20"/>
        </w:rPr>
        <w:t>CISS</w:t>
      </w:r>
      <w:r w:rsidRPr="00F10358">
        <w:rPr>
          <w:rFonts w:ascii="Verdana" w:hAnsi="Verdana"/>
          <w:color w:val="000000" w:themeColor="text1"/>
          <w:sz w:val="20"/>
          <w:szCs w:val="20"/>
        </w:rPr>
        <w:t xml:space="preserve"> </w:t>
      </w:r>
      <w:r w:rsidR="003F31B5" w:rsidRPr="00F10358">
        <w:rPr>
          <w:rFonts w:ascii="Verdana" w:hAnsi="Verdana"/>
          <w:color w:val="000000" w:themeColor="text1"/>
          <w:sz w:val="20"/>
          <w:szCs w:val="20"/>
        </w:rPr>
        <w:t xml:space="preserve"> </w:t>
      </w:r>
      <w:r>
        <w:rPr>
          <w:rFonts w:ascii="Verdana" w:hAnsi="Verdana"/>
          <w:color w:val="000000" w:themeColor="text1"/>
          <w:sz w:val="20"/>
          <w:szCs w:val="20"/>
        </w:rPr>
        <w:t>è</w:t>
      </w:r>
      <w:proofErr w:type="gramEnd"/>
      <w:r>
        <w:rPr>
          <w:rFonts w:ascii="Verdana" w:hAnsi="Verdana"/>
          <w:color w:val="000000" w:themeColor="text1"/>
          <w:sz w:val="20"/>
          <w:szCs w:val="20"/>
        </w:rPr>
        <w:t xml:space="preserve"> </w:t>
      </w:r>
      <w:r w:rsidR="003F31B5" w:rsidRPr="00F10358">
        <w:rPr>
          <w:rFonts w:ascii="Verdana" w:hAnsi="Verdana"/>
          <w:color w:val="000000" w:themeColor="text1"/>
          <w:sz w:val="20"/>
          <w:szCs w:val="20"/>
        </w:rPr>
        <w:t xml:space="preserve">soggetto di diritto pubblico, ed organo con personalità giuridica </w:t>
      </w:r>
      <w:r>
        <w:rPr>
          <w:rFonts w:ascii="Verdana" w:hAnsi="Verdana"/>
          <w:color w:val="000000" w:themeColor="text1"/>
          <w:sz w:val="20"/>
          <w:szCs w:val="20"/>
        </w:rPr>
        <w:t xml:space="preserve">che associa i </w:t>
      </w:r>
      <w:r w:rsidR="003F31B5" w:rsidRPr="00F10358">
        <w:rPr>
          <w:rFonts w:ascii="Verdana" w:hAnsi="Verdana"/>
          <w:color w:val="000000" w:themeColor="text1"/>
          <w:sz w:val="20"/>
          <w:szCs w:val="20"/>
        </w:rPr>
        <w:t>comuni di una vasta area territoriale della Regione Campania (cfr. elenco di cui alla Tabella A).</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Oggetto della presente attività controllo</w:t>
      </w:r>
      <w:r w:rsidR="00B31D53" w:rsidRPr="00F10358">
        <w:rPr>
          <w:rFonts w:ascii="Verdana" w:hAnsi="Verdana"/>
          <w:color w:val="000000" w:themeColor="text1"/>
          <w:sz w:val="20"/>
          <w:szCs w:val="20"/>
        </w:rPr>
        <w:t xml:space="preserve"> è lo svolgimento, da parte </w:t>
      </w:r>
      <w:r w:rsidRPr="00F10358">
        <w:rPr>
          <w:rFonts w:ascii="Verdana" w:hAnsi="Verdana"/>
          <w:color w:val="000000" w:themeColor="text1"/>
          <w:sz w:val="20"/>
          <w:szCs w:val="20"/>
        </w:rPr>
        <w:t>da parte dei comuni, di tale servizio, sotto il profilo dell’organi</w:t>
      </w:r>
      <w:r w:rsidR="00B31D53" w:rsidRPr="00F10358">
        <w:rPr>
          <w:rFonts w:ascii="Verdana" w:hAnsi="Verdana"/>
          <w:color w:val="000000" w:themeColor="text1"/>
          <w:sz w:val="20"/>
          <w:szCs w:val="20"/>
        </w:rPr>
        <w:t>zzazione, della modalità di affidamento</w:t>
      </w:r>
      <w:r w:rsidRPr="00F10358">
        <w:rPr>
          <w:rFonts w:ascii="Verdana" w:hAnsi="Verdana"/>
          <w:color w:val="000000" w:themeColor="text1"/>
          <w:sz w:val="20"/>
          <w:szCs w:val="20"/>
        </w:rPr>
        <w:t>,</w:t>
      </w:r>
      <w:r w:rsidR="00B31D53" w:rsidRPr="00F10358">
        <w:rPr>
          <w:rFonts w:ascii="Verdana" w:hAnsi="Verdana"/>
          <w:color w:val="000000" w:themeColor="text1"/>
          <w:sz w:val="20"/>
          <w:szCs w:val="20"/>
        </w:rPr>
        <w:t xml:space="preserve"> </w:t>
      </w:r>
      <w:r w:rsidRPr="00F10358">
        <w:rPr>
          <w:rFonts w:ascii="Verdana" w:hAnsi="Verdana"/>
          <w:color w:val="000000" w:themeColor="text1"/>
          <w:sz w:val="20"/>
          <w:szCs w:val="20"/>
        </w:rPr>
        <w:t>nonché dei controlli interni sulla base delle seguenti basi normative:</w:t>
      </w:r>
    </w:p>
    <w:p w:rsidR="003F31B5" w:rsidRPr="00F10358" w:rsidRDefault="003F31B5" w:rsidP="003F31B5">
      <w:pPr>
        <w:pStyle w:val="Paragrafoelenco"/>
        <w:numPr>
          <w:ilvl w:val="0"/>
          <w:numId w:val="45"/>
        </w:numPr>
        <w:shd w:val="clear" w:color="auto" w:fill="FEFFFF"/>
        <w:spacing w:line="360" w:lineRule="auto"/>
        <w:jc w:val="both"/>
        <w:rPr>
          <w:rFonts w:ascii="Verdana" w:hAnsi="Verdana"/>
          <w:color w:val="000000" w:themeColor="text1"/>
          <w:sz w:val="20"/>
          <w:szCs w:val="20"/>
        </w:rPr>
      </w:pPr>
      <w:r w:rsidRPr="00F10358">
        <w:rPr>
          <w:rFonts w:ascii="Verdana" w:hAnsi="Verdana"/>
          <w:color w:val="000000" w:themeColor="text1"/>
          <w:sz w:val="20"/>
          <w:szCs w:val="20"/>
        </w:rPr>
        <w:t>l’art. 148-bis TUEL, in virtù del quale le Sezioni regionali della Corte di conti «</w:t>
      </w:r>
      <w:r w:rsidRPr="00F10358">
        <w:rPr>
          <w:rFonts w:ascii="Verdana" w:hAnsi="Verdana"/>
          <w:i/>
          <w:color w:val="000000" w:themeColor="text1"/>
          <w:sz w:val="20"/>
          <w:szCs w:val="20"/>
        </w:rPr>
        <w:t>esaminano i bilanci preventivi e i rendiconti consuntivi degli enti locali</w:t>
      </w:r>
      <w:r w:rsidRPr="00F10358">
        <w:rPr>
          <w:rFonts w:ascii="Verdana" w:hAnsi="Verdana"/>
          <w:color w:val="000000" w:themeColor="text1"/>
          <w:sz w:val="20"/>
          <w:szCs w:val="20"/>
        </w:rPr>
        <w:t xml:space="preserve"> </w:t>
      </w:r>
      <w:r w:rsidRPr="00F10358">
        <w:rPr>
          <w:rFonts w:ascii="Verdana" w:hAnsi="Verdana"/>
          <w:i/>
          <w:color w:val="000000" w:themeColor="text1"/>
          <w:sz w:val="20"/>
          <w:szCs w:val="20"/>
        </w:rPr>
        <w:t>[…] per la verifica […]</w:t>
      </w:r>
      <w:r w:rsidR="001E00E6" w:rsidRPr="00F10358">
        <w:rPr>
          <w:rFonts w:ascii="Verdana" w:hAnsi="Verdana"/>
          <w:i/>
          <w:color w:val="000000" w:themeColor="text1"/>
          <w:sz w:val="20"/>
          <w:szCs w:val="20"/>
        </w:rPr>
        <w:t xml:space="preserve"> </w:t>
      </w:r>
      <w:r w:rsidR="00D14A2D" w:rsidRPr="00F10358">
        <w:rPr>
          <w:rFonts w:ascii="Verdana" w:hAnsi="Verdana"/>
          <w:i/>
          <w:color w:val="000000" w:themeColor="text1"/>
          <w:sz w:val="20"/>
          <w:szCs w:val="20"/>
        </w:rPr>
        <w:t>dell'assenza di irregolarità, suscettibili di pregiudicare, anche in prospettiva, gli equilibri economico-finanziari degli ent</w:t>
      </w:r>
      <w:r w:rsidR="00AA2BEF" w:rsidRPr="00F10358">
        <w:rPr>
          <w:rFonts w:ascii="Verdana" w:hAnsi="Verdana"/>
          <w:i/>
          <w:color w:val="000000" w:themeColor="text1"/>
          <w:sz w:val="20"/>
          <w:szCs w:val="20"/>
        </w:rPr>
        <w:t>i</w:t>
      </w:r>
      <w:r w:rsidRPr="00F10358">
        <w:rPr>
          <w:rFonts w:ascii="Verdana" w:hAnsi="Verdana"/>
          <w:color w:val="000000" w:themeColor="text1"/>
          <w:sz w:val="20"/>
          <w:szCs w:val="20"/>
        </w:rPr>
        <w:t>» (comma 1), anche a mezzo di partecipazione in società di diritto privato, siano esse dirette o indirette (comma 2);</w:t>
      </w:r>
    </w:p>
    <w:p w:rsidR="003F31B5" w:rsidRPr="00F10358" w:rsidRDefault="003F31B5" w:rsidP="003F31B5">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F10358">
        <w:rPr>
          <w:rFonts w:ascii="Verdana" w:hAnsi="Verdana"/>
          <w:color w:val="000000" w:themeColor="text1"/>
          <w:sz w:val="20"/>
          <w:szCs w:val="20"/>
        </w:rPr>
        <w:t>il</w:t>
      </w:r>
      <w:proofErr w:type="gramEnd"/>
      <w:r w:rsidRPr="00F10358">
        <w:rPr>
          <w:rFonts w:ascii="Verdana" w:hAnsi="Verdana"/>
          <w:color w:val="000000" w:themeColor="text1"/>
          <w:sz w:val="20"/>
          <w:szCs w:val="20"/>
        </w:rPr>
        <w:t xml:space="preserve"> combinato disposto di cui agli </w:t>
      </w:r>
      <w:r w:rsidRPr="00F10358">
        <w:rPr>
          <w:rFonts w:ascii="Verdana" w:eastAsia="Verdana" w:hAnsi="Verdana" w:cs="Verdana"/>
          <w:color w:val="000000" w:themeColor="text1"/>
          <w:sz w:val="20"/>
          <w:szCs w:val="20"/>
        </w:rPr>
        <w:t>artt. 3, comma 4 della L. n. 20/1994 e art. 7, comma 7, della L. n. 131/2003 nonché l’art. 148 TUEL.</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eastAsia="Verdana" w:hAnsi="Verdana" w:cs="Verdana"/>
          <w:color w:val="000000" w:themeColor="text1"/>
          <w:sz w:val="20"/>
          <w:szCs w:val="20"/>
        </w:rPr>
        <w:t>In merito a quest’ultimo riferimento normativo si ricorda che «</w:t>
      </w:r>
      <w:r w:rsidRPr="00F10358">
        <w:rPr>
          <w:rFonts w:ascii="Verdana" w:eastAsia="Verdana" w:hAnsi="Verdana" w:cs="Verdana"/>
          <w:i/>
          <w:color w:val="000000" w:themeColor="text1"/>
          <w:sz w:val="20"/>
          <w:szCs w:val="20"/>
        </w:rPr>
        <w:t>La Corte dei conti svolge, anche in corso di esercizio, il controllo successivo sulla gestione del bilancio e del patrimonio delle amministrazioni pubbliche […] verificando la legittimità e la regolarità delle gestioni, nonché il funzionamento dei controlli interni a ciascuna amministrazione. Accerta, anche in base all'esito di altri controlli, la rispondenza dei risultati dell'attività amministrativa agli obiettivi stabiliti dalla legge, valutando comparativamente costi, modi e tempi dello svolgimento dell'azione amministrativa</w:t>
      </w:r>
      <w:r w:rsidRPr="00F10358">
        <w:rPr>
          <w:rFonts w:ascii="Verdana" w:eastAsia="Verdana" w:hAnsi="Verdana" w:cs="Verdana"/>
          <w:color w:val="000000" w:themeColor="text1"/>
          <w:sz w:val="20"/>
          <w:szCs w:val="20"/>
        </w:rPr>
        <w:t xml:space="preserve">». </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 xml:space="preserve">La partecipazione dei comuni nel CISS – e per mezzo di questo in </w:t>
      </w:r>
      <w:r w:rsidR="003B4079">
        <w:rPr>
          <w:rFonts w:ascii="Verdana" w:hAnsi="Verdana"/>
          <w:color w:val="000000" w:themeColor="text1"/>
          <w:sz w:val="20"/>
          <w:szCs w:val="20"/>
        </w:rPr>
        <w:t>INCOFARMA</w:t>
      </w:r>
      <w:r w:rsidRPr="00F10358">
        <w:rPr>
          <w:rFonts w:ascii="Verdana" w:hAnsi="Verdana"/>
          <w:color w:val="000000" w:themeColor="text1"/>
          <w:sz w:val="20"/>
          <w:szCs w:val="20"/>
        </w:rPr>
        <w:t xml:space="preserve"> –</w:t>
      </w:r>
      <w:r w:rsidRPr="00F10358">
        <w:rPr>
          <w:rFonts w:ascii="Verdana" w:eastAsia="Verdana" w:hAnsi="Verdana" w:cs="Verdana"/>
          <w:color w:val="000000" w:themeColor="text1"/>
          <w:sz w:val="20"/>
          <w:szCs w:val="20"/>
        </w:rPr>
        <w:t xml:space="preserve"> costituisce lo strumento di gestione di un importante servizio, astrattamente in grado di incidere non solo sugli equilibri di bilancio (art. 148-bis TUEL), ma anche, in generale sull’efficacia, efficienza ed economicità della gestione.</w:t>
      </w:r>
    </w:p>
    <w:p w:rsidR="003F31B5" w:rsidRPr="00F10358" w:rsidRDefault="003F31B5" w:rsidP="003F31B5">
      <w:pPr>
        <w:shd w:val="clear" w:color="auto" w:fill="FEFFFF"/>
        <w:spacing w:line="360" w:lineRule="auto"/>
        <w:ind w:firstLine="354"/>
        <w:jc w:val="both"/>
        <w:rPr>
          <w:rFonts w:ascii="Verdana" w:hAnsi="Verdana"/>
          <w:bCs/>
          <w:sz w:val="20"/>
          <w:szCs w:val="20"/>
        </w:rPr>
      </w:pPr>
      <w:r w:rsidRPr="00F10358">
        <w:rPr>
          <w:rFonts w:ascii="Verdana" w:eastAsia="Verdana" w:hAnsi="Verdana" w:cs="Verdana"/>
          <w:color w:val="000000" w:themeColor="text1"/>
          <w:sz w:val="20"/>
          <w:szCs w:val="20"/>
        </w:rPr>
        <w:t>L’indagine, peraltro</w:t>
      </w:r>
      <w:r w:rsidR="00812675">
        <w:rPr>
          <w:rFonts w:ascii="Verdana" w:eastAsia="Verdana" w:hAnsi="Verdana" w:cs="Verdana"/>
          <w:color w:val="000000" w:themeColor="text1"/>
          <w:sz w:val="20"/>
          <w:szCs w:val="20"/>
        </w:rPr>
        <w:t>,</w:t>
      </w:r>
      <w:r w:rsidRPr="00F10358">
        <w:rPr>
          <w:rFonts w:ascii="Verdana" w:eastAsia="Verdana" w:hAnsi="Verdana" w:cs="Verdana"/>
          <w:color w:val="000000" w:themeColor="text1"/>
          <w:sz w:val="20"/>
          <w:szCs w:val="20"/>
        </w:rPr>
        <w:t xml:space="preserve"> prende abbrivio da</w:t>
      </w:r>
      <w:r w:rsidRPr="00F10358">
        <w:rPr>
          <w:rFonts w:ascii="Verdana" w:hAnsi="Verdana"/>
          <w:bCs/>
          <w:sz w:val="20"/>
          <w:szCs w:val="20"/>
        </w:rPr>
        <w:t xml:space="preserve"> alcune segnalazioni pervenute a questa Sezione (nota </w:t>
      </w:r>
      <w:proofErr w:type="spellStart"/>
      <w:r w:rsidRPr="00F10358">
        <w:rPr>
          <w:rFonts w:ascii="Verdana" w:hAnsi="Verdana"/>
          <w:bCs/>
          <w:sz w:val="20"/>
          <w:szCs w:val="20"/>
        </w:rPr>
        <w:t>prot</w:t>
      </w:r>
      <w:proofErr w:type="spellEnd"/>
      <w:r w:rsidRPr="00F10358">
        <w:rPr>
          <w:rFonts w:ascii="Verdana" w:hAnsi="Verdana"/>
          <w:bCs/>
          <w:sz w:val="20"/>
          <w:szCs w:val="20"/>
        </w:rPr>
        <w:t xml:space="preserve">. C.C. n. 3439 del giugno 2014, successivamente, ad indagine avviata, cfr. </w:t>
      </w:r>
      <w:proofErr w:type="spellStart"/>
      <w:r w:rsidRPr="00F10358">
        <w:rPr>
          <w:rFonts w:ascii="Verdana" w:hAnsi="Verdana"/>
          <w:bCs/>
          <w:sz w:val="20"/>
          <w:szCs w:val="20"/>
        </w:rPr>
        <w:t>prot</w:t>
      </w:r>
      <w:proofErr w:type="spellEnd"/>
      <w:r w:rsidRPr="00F10358">
        <w:rPr>
          <w:rFonts w:ascii="Verdana" w:hAnsi="Verdana"/>
          <w:bCs/>
          <w:sz w:val="20"/>
          <w:szCs w:val="20"/>
        </w:rPr>
        <w:t xml:space="preserve">. C.C. n. 465 del 5 febbraio 2016) relative a presunte irregolarità nella gestione del servizio di assistenza farmaceutica, esternalizzato a mezzo della catena partecipativa sopra illustrata. Il </w:t>
      </w:r>
      <w:r w:rsidRPr="00F10358">
        <w:rPr>
          <w:rFonts w:ascii="Verdana" w:hAnsi="Verdana"/>
          <w:bCs/>
          <w:sz w:val="20"/>
          <w:szCs w:val="20"/>
        </w:rPr>
        <w:lastRenderedPageBreak/>
        <w:t>Magistrato istruttore, ravvisando la sussistenza di “situazioni e provvedimenti che richiedono tempestivi accertamenti e verifiche” (art. 3, comma 12, della L. n. 20/1994) effettuava una prima richiesta istruttoria a vari comuni tra quelli interessati (a valle della quale si segnala la documentazione fornita dal comune di Gricignano di Aversa che</w:t>
      </w:r>
      <w:r w:rsidR="00812675" w:rsidRPr="00F10358">
        <w:rPr>
          <w:rFonts w:ascii="Verdana" w:hAnsi="Verdana"/>
          <w:bCs/>
          <w:sz w:val="20"/>
          <w:szCs w:val="20"/>
        </w:rPr>
        <w:t>,</w:t>
      </w:r>
      <w:r w:rsidRPr="00F10358">
        <w:rPr>
          <w:rFonts w:ascii="Verdana" w:hAnsi="Verdana"/>
          <w:bCs/>
          <w:sz w:val="20"/>
          <w:szCs w:val="20"/>
        </w:rPr>
        <w:t xml:space="preserve"> con </w:t>
      </w:r>
      <w:proofErr w:type="spellStart"/>
      <w:r w:rsidRPr="00F10358">
        <w:rPr>
          <w:rFonts w:ascii="Verdana" w:hAnsi="Verdana"/>
          <w:bCs/>
          <w:sz w:val="20"/>
          <w:szCs w:val="20"/>
        </w:rPr>
        <w:t>prot</w:t>
      </w:r>
      <w:proofErr w:type="spellEnd"/>
      <w:r w:rsidRPr="00F10358">
        <w:rPr>
          <w:rFonts w:ascii="Verdana" w:hAnsi="Verdana"/>
          <w:bCs/>
          <w:sz w:val="20"/>
          <w:szCs w:val="20"/>
        </w:rPr>
        <w:t>. n. 2986 del 25 maggio 2015</w:t>
      </w:r>
      <w:r w:rsidR="00812675">
        <w:rPr>
          <w:rFonts w:ascii="Verdana" w:hAnsi="Verdana"/>
          <w:bCs/>
          <w:sz w:val="20"/>
          <w:szCs w:val="20"/>
        </w:rPr>
        <w:t>,</w:t>
      </w:r>
      <w:r w:rsidRPr="00F10358">
        <w:rPr>
          <w:rFonts w:ascii="Verdana" w:hAnsi="Verdana"/>
          <w:bCs/>
          <w:sz w:val="20"/>
          <w:szCs w:val="20"/>
        </w:rPr>
        <w:t xml:space="preserve"> faceva pervenire, tra le altre informazioni, la “Relazione illustrativa sul funzionamento del CISS” del 10 aprile 2015, a firma del Direttore Generale </w:t>
      </w:r>
      <w:r w:rsidRPr="00F10358">
        <w:rPr>
          <w:rFonts w:ascii="Verdana" w:hAnsi="Verdana"/>
          <w:bCs/>
          <w:i/>
          <w:sz w:val="20"/>
          <w:szCs w:val="20"/>
        </w:rPr>
        <w:t>pro tempore</w:t>
      </w:r>
      <w:r w:rsidRPr="00F10358">
        <w:rPr>
          <w:rFonts w:ascii="Verdana" w:hAnsi="Verdana"/>
          <w:bCs/>
          <w:sz w:val="20"/>
          <w:szCs w:val="20"/>
        </w:rPr>
        <w:t xml:space="preserve"> del Consorzio)</w:t>
      </w:r>
      <w:r w:rsidR="00531E57" w:rsidRPr="00F10358">
        <w:rPr>
          <w:rFonts w:ascii="Verdana" w:hAnsi="Verdana"/>
          <w:bCs/>
          <w:sz w:val="20"/>
          <w:szCs w:val="20"/>
        </w:rPr>
        <w:t>; successivamente lo stesso Magistrato</w:t>
      </w:r>
      <w:r w:rsidRPr="00F10358">
        <w:rPr>
          <w:rFonts w:ascii="Verdana" w:hAnsi="Verdana"/>
          <w:bCs/>
          <w:sz w:val="20"/>
          <w:szCs w:val="20"/>
        </w:rPr>
        <w:t xml:space="preserve"> ne ha</w:t>
      </w:r>
      <w:r w:rsidR="00287723">
        <w:rPr>
          <w:rFonts w:ascii="Verdana" w:hAnsi="Verdana"/>
          <w:bCs/>
          <w:sz w:val="20"/>
          <w:szCs w:val="20"/>
        </w:rPr>
        <w:t xml:space="preserve"> </w:t>
      </w:r>
      <w:r w:rsidR="00771B88">
        <w:rPr>
          <w:rFonts w:ascii="Verdana" w:hAnsi="Verdana"/>
          <w:bCs/>
          <w:sz w:val="20"/>
          <w:szCs w:val="20"/>
        </w:rPr>
        <w:t xml:space="preserve">investito la </w:t>
      </w:r>
      <w:r w:rsidRPr="00F10358">
        <w:rPr>
          <w:rFonts w:ascii="Verdana" w:hAnsi="Verdana"/>
          <w:bCs/>
          <w:sz w:val="20"/>
          <w:szCs w:val="20"/>
        </w:rPr>
        <w:t>Sezione del controllo che ha</w:t>
      </w:r>
      <w:r w:rsidR="00955720" w:rsidRPr="00F10358">
        <w:rPr>
          <w:rFonts w:ascii="Verdana" w:hAnsi="Verdana"/>
          <w:bCs/>
          <w:sz w:val="20"/>
          <w:szCs w:val="20"/>
        </w:rPr>
        <w:t>,</w:t>
      </w:r>
      <w:r w:rsidRPr="00F10358">
        <w:rPr>
          <w:rFonts w:ascii="Verdana" w:hAnsi="Verdana"/>
          <w:bCs/>
          <w:sz w:val="20"/>
          <w:szCs w:val="20"/>
        </w:rPr>
        <w:t xml:space="preserve"> di conseguenza</w:t>
      </w:r>
      <w:r w:rsidR="00955720" w:rsidRPr="00F10358">
        <w:rPr>
          <w:rFonts w:ascii="Verdana" w:hAnsi="Verdana"/>
          <w:bCs/>
          <w:sz w:val="20"/>
          <w:szCs w:val="20"/>
        </w:rPr>
        <w:t>,</w:t>
      </w:r>
      <w:r w:rsidRPr="00F10358">
        <w:rPr>
          <w:rFonts w:ascii="Verdana" w:hAnsi="Verdana"/>
          <w:bCs/>
          <w:sz w:val="20"/>
          <w:szCs w:val="20"/>
        </w:rPr>
        <w:t xml:space="preserve"> deliberato ed emesso l’ordinanza istruttoria collegiale n. 218 del 12 ottobre 2015.</w:t>
      </w:r>
    </w:p>
    <w:p w:rsidR="003F31B5" w:rsidRPr="00F10358" w:rsidRDefault="003F31B5" w:rsidP="003F31B5">
      <w:pPr>
        <w:shd w:val="clear" w:color="auto" w:fill="FEFFFF"/>
        <w:spacing w:line="360" w:lineRule="auto"/>
        <w:ind w:firstLine="354"/>
        <w:jc w:val="both"/>
        <w:rPr>
          <w:rFonts w:ascii="Verdana" w:hAnsi="Verdana"/>
          <w:bCs/>
          <w:sz w:val="20"/>
          <w:szCs w:val="20"/>
        </w:rPr>
      </w:pPr>
      <w:r w:rsidRPr="00F10358">
        <w:rPr>
          <w:rFonts w:ascii="Verdana" w:hAnsi="Verdana"/>
          <w:bCs/>
          <w:sz w:val="20"/>
          <w:szCs w:val="20"/>
        </w:rPr>
        <w:t xml:space="preserve">Infatti, come già evidenziato dalle </w:t>
      </w:r>
      <w:proofErr w:type="spellStart"/>
      <w:r w:rsidRPr="00F10358">
        <w:rPr>
          <w:rFonts w:ascii="Verdana" w:hAnsi="Verdana"/>
          <w:bCs/>
          <w:sz w:val="20"/>
          <w:szCs w:val="20"/>
        </w:rPr>
        <w:t>Sezione</w:t>
      </w:r>
      <w:proofErr w:type="spellEnd"/>
      <w:r w:rsidRPr="00F10358">
        <w:rPr>
          <w:rFonts w:ascii="Verdana" w:hAnsi="Verdana"/>
          <w:bCs/>
          <w:sz w:val="20"/>
          <w:szCs w:val="20"/>
        </w:rPr>
        <w:t xml:space="preserve"> riunite (deliberazioni </w:t>
      </w:r>
      <w:proofErr w:type="spellStart"/>
      <w:r w:rsidRPr="00F10358">
        <w:rPr>
          <w:rFonts w:ascii="Verdana" w:hAnsi="Verdana"/>
          <w:bCs/>
          <w:sz w:val="20"/>
          <w:szCs w:val="20"/>
        </w:rPr>
        <w:t>nn</w:t>
      </w:r>
      <w:proofErr w:type="spellEnd"/>
      <w:r w:rsidRPr="00F10358">
        <w:rPr>
          <w:rFonts w:ascii="Verdana" w:hAnsi="Verdana"/>
          <w:bCs/>
          <w:sz w:val="20"/>
          <w:szCs w:val="20"/>
        </w:rPr>
        <w:t xml:space="preserve">. 15/2013/INPR; 14/2014/INPR; 18/2015/IPR), l’articolazione programmatica annuale dei controlli sulla gestione, non preclude di </w:t>
      </w:r>
      <w:r w:rsidR="00771B88">
        <w:rPr>
          <w:rFonts w:ascii="Verdana" w:hAnsi="Verdana"/>
          <w:bCs/>
          <w:sz w:val="20"/>
          <w:szCs w:val="20"/>
        </w:rPr>
        <w:t xml:space="preserve">realizzare indagini in contesti di particolare rilievo al fine di analizzare </w:t>
      </w:r>
      <w:proofErr w:type="gramStart"/>
      <w:r w:rsidR="00771B88">
        <w:rPr>
          <w:rFonts w:ascii="Verdana" w:hAnsi="Verdana"/>
          <w:bCs/>
          <w:sz w:val="20"/>
          <w:szCs w:val="20"/>
        </w:rPr>
        <w:t xml:space="preserve">la </w:t>
      </w:r>
      <w:r w:rsidRPr="00F10358">
        <w:rPr>
          <w:rFonts w:ascii="Verdana" w:hAnsi="Verdana"/>
          <w:bCs/>
          <w:sz w:val="20"/>
          <w:szCs w:val="20"/>
        </w:rPr>
        <w:t xml:space="preserve"> legalità</w:t>
      </w:r>
      <w:proofErr w:type="gramEnd"/>
      <w:r w:rsidRPr="00F10358">
        <w:rPr>
          <w:rFonts w:ascii="Verdana" w:hAnsi="Verdana"/>
          <w:bCs/>
          <w:sz w:val="20"/>
          <w:szCs w:val="20"/>
        </w:rPr>
        <w:t xml:space="preserve"> dinamica e sostanziale delle gestioni</w:t>
      </w:r>
      <w:r w:rsidR="00771B88">
        <w:rPr>
          <w:rFonts w:ascii="Verdana" w:hAnsi="Verdana"/>
          <w:bCs/>
          <w:sz w:val="20"/>
          <w:szCs w:val="20"/>
        </w:rPr>
        <w:t>, nonché l’</w:t>
      </w:r>
      <w:r w:rsidR="00287723">
        <w:rPr>
          <w:rFonts w:ascii="Verdana" w:hAnsi="Verdana"/>
          <w:bCs/>
          <w:sz w:val="20"/>
          <w:szCs w:val="20"/>
        </w:rPr>
        <w:t>efficienza</w:t>
      </w:r>
      <w:r w:rsidR="00771B88">
        <w:rPr>
          <w:rFonts w:ascii="Verdana" w:hAnsi="Verdana"/>
          <w:bCs/>
          <w:sz w:val="20"/>
          <w:szCs w:val="20"/>
        </w:rPr>
        <w:t>, l’efficacia e l’economicità delle medesime, anche</w:t>
      </w:r>
      <w:r w:rsidRPr="00F10358">
        <w:rPr>
          <w:rFonts w:ascii="Verdana" w:hAnsi="Verdana"/>
          <w:bCs/>
          <w:sz w:val="20"/>
          <w:szCs w:val="20"/>
        </w:rPr>
        <w:t xml:space="preserve"> in ragione delle sollecitazioni provenienti dalla realtà e delle dinamiche istituzionali.</w:t>
      </w:r>
    </w:p>
    <w:p w:rsidR="003F31B5" w:rsidRPr="00F10358" w:rsidRDefault="00771B88" w:rsidP="003F31B5">
      <w:pPr>
        <w:shd w:val="clear" w:color="auto" w:fill="FEFFFF"/>
        <w:spacing w:line="360" w:lineRule="auto"/>
        <w:ind w:firstLine="354"/>
        <w:jc w:val="both"/>
        <w:rPr>
          <w:rFonts w:ascii="Verdana" w:hAnsi="Verdana"/>
          <w:bCs/>
          <w:sz w:val="20"/>
          <w:szCs w:val="20"/>
        </w:rPr>
      </w:pPr>
      <w:r>
        <w:rPr>
          <w:rFonts w:ascii="Verdana" w:hAnsi="Verdana"/>
          <w:bCs/>
          <w:sz w:val="20"/>
          <w:szCs w:val="20"/>
        </w:rPr>
        <w:t xml:space="preserve">Pertanto, in </w:t>
      </w:r>
      <w:r w:rsidR="00812675" w:rsidRPr="00F10358">
        <w:rPr>
          <w:rFonts w:ascii="Verdana" w:hAnsi="Verdana"/>
          <w:bCs/>
          <w:sz w:val="20"/>
          <w:szCs w:val="20"/>
        </w:rPr>
        <w:t xml:space="preserve">esito </w:t>
      </w:r>
      <w:r>
        <w:rPr>
          <w:rFonts w:ascii="Verdana" w:hAnsi="Verdana"/>
          <w:bCs/>
          <w:sz w:val="20"/>
          <w:szCs w:val="20"/>
        </w:rPr>
        <w:t>a</w:t>
      </w:r>
      <w:r w:rsidR="00812675" w:rsidRPr="00F10358">
        <w:rPr>
          <w:rFonts w:ascii="Verdana" w:hAnsi="Verdana"/>
          <w:bCs/>
          <w:sz w:val="20"/>
          <w:szCs w:val="20"/>
        </w:rPr>
        <w:t>ll’indagine</w:t>
      </w:r>
      <w:r>
        <w:rPr>
          <w:rFonts w:ascii="Verdana" w:hAnsi="Verdana"/>
          <w:bCs/>
          <w:sz w:val="20"/>
          <w:szCs w:val="20"/>
        </w:rPr>
        <w:t xml:space="preserve"> condotta</w:t>
      </w:r>
      <w:r w:rsidR="00812675">
        <w:rPr>
          <w:rFonts w:ascii="Verdana" w:hAnsi="Verdana"/>
          <w:bCs/>
          <w:sz w:val="20"/>
          <w:szCs w:val="20"/>
        </w:rPr>
        <w:t>,</w:t>
      </w:r>
      <w:r w:rsidR="00812675" w:rsidRPr="00F10358">
        <w:rPr>
          <w:rFonts w:ascii="Verdana" w:hAnsi="Verdana"/>
          <w:bCs/>
          <w:sz w:val="20"/>
          <w:szCs w:val="20"/>
        </w:rPr>
        <w:t xml:space="preserve"> </w:t>
      </w:r>
      <w:r w:rsidR="003F31B5" w:rsidRPr="00F10358">
        <w:rPr>
          <w:rFonts w:ascii="Verdana" w:hAnsi="Verdana"/>
          <w:bCs/>
          <w:sz w:val="20"/>
          <w:szCs w:val="20"/>
        </w:rPr>
        <w:t xml:space="preserve">il </w:t>
      </w:r>
      <w:r>
        <w:rPr>
          <w:rFonts w:ascii="Verdana" w:hAnsi="Verdana"/>
          <w:bCs/>
          <w:sz w:val="20"/>
          <w:szCs w:val="20"/>
        </w:rPr>
        <w:t xml:space="preserve">presente </w:t>
      </w:r>
      <w:r w:rsidR="003F31B5" w:rsidRPr="00F10358">
        <w:rPr>
          <w:rFonts w:ascii="Verdana" w:hAnsi="Verdana"/>
          <w:bCs/>
          <w:sz w:val="20"/>
          <w:szCs w:val="20"/>
        </w:rPr>
        <w:t xml:space="preserve">referto ha </w:t>
      </w:r>
      <w:r>
        <w:rPr>
          <w:rFonts w:ascii="Verdana" w:hAnsi="Verdana"/>
          <w:bCs/>
          <w:sz w:val="20"/>
          <w:szCs w:val="20"/>
        </w:rPr>
        <w:t>quale</w:t>
      </w:r>
      <w:r w:rsidRPr="00F10358">
        <w:rPr>
          <w:rFonts w:ascii="Verdana" w:hAnsi="Verdana"/>
          <w:bCs/>
          <w:sz w:val="20"/>
          <w:szCs w:val="20"/>
        </w:rPr>
        <w:t xml:space="preserve"> </w:t>
      </w:r>
      <w:r w:rsidR="003F31B5" w:rsidRPr="00F10358">
        <w:rPr>
          <w:rFonts w:ascii="Verdana" w:hAnsi="Verdana"/>
          <w:bCs/>
          <w:sz w:val="20"/>
          <w:szCs w:val="20"/>
        </w:rPr>
        <w:t>oggetto la gestione associata del servizio di assistenza farmaceutica sotto il profilo dell’efficienza, efficacia, economicità della gestione, dei controlli interni e della regolarità dell’affidamento e gestione del servizio erogato a seguito del conseguimento dell’autorizzazione all’apertura delle farmacie (di seguito “licenze</w:t>
      </w:r>
      <w:r w:rsidR="00A055CF">
        <w:rPr>
          <w:rFonts w:ascii="Verdana" w:hAnsi="Verdana"/>
          <w:bCs/>
          <w:sz w:val="20"/>
          <w:szCs w:val="20"/>
        </w:rPr>
        <w:t>”</w:t>
      </w:r>
      <w:r w:rsidR="003F31B5" w:rsidRPr="00F10358">
        <w:rPr>
          <w:rFonts w:ascii="Verdana" w:hAnsi="Verdana"/>
          <w:bCs/>
          <w:sz w:val="20"/>
          <w:szCs w:val="20"/>
        </w:rPr>
        <w:t xml:space="preserve">), </w:t>
      </w:r>
      <w:proofErr w:type="spellStart"/>
      <w:r w:rsidR="003F31B5" w:rsidRPr="00F10358">
        <w:rPr>
          <w:rFonts w:ascii="Verdana" w:hAnsi="Verdana"/>
          <w:bCs/>
          <w:sz w:val="20"/>
          <w:szCs w:val="20"/>
        </w:rPr>
        <w:t>prelazionate</w:t>
      </w:r>
      <w:proofErr w:type="spellEnd"/>
      <w:r w:rsidR="003F31B5" w:rsidRPr="00F10358">
        <w:rPr>
          <w:rFonts w:ascii="Verdana" w:hAnsi="Verdana"/>
          <w:bCs/>
          <w:sz w:val="20"/>
          <w:szCs w:val="20"/>
        </w:rPr>
        <w:t xml:space="preserve"> in sede regionale. Il controllo sulla gestione di tale servizio, erogato dai comuni a mezzo della partecipazione indiretta nella società mista </w:t>
      </w:r>
      <w:r w:rsidR="003B4079">
        <w:rPr>
          <w:rFonts w:ascii="Verdana" w:hAnsi="Verdana"/>
          <w:bCs/>
          <w:sz w:val="20"/>
          <w:szCs w:val="20"/>
        </w:rPr>
        <w:t>INCOFARMA</w:t>
      </w:r>
      <w:r w:rsidR="003F31B5" w:rsidRPr="00F10358">
        <w:rPr>
          <w:rFonts w:ascii="Verdana" w:hAnsi="Verdana"/>
          <w:bCs/>
          <w:sz w:val="20"/>
          <w:szCs w:val="20"/>
        </w:rPr>
        <w:t xml:space="preserve">, </w:t>
      </w:r>
      <w:r w:rsidR="00812675">
        <w:rPr>
          <w:rFonts w:ascii="Verdana" w:hAnsi="Verdana"/>
          <w:bCs/>
          <w:sz w:val="20"/>
          <w:szCs w:val="20"/>
        </w:rPr>
        <w:t>nello specifico</w:t>
      </w:r>
      <w:r w:rsidR="003F31B5" w:rsidRPr="00F10358">
        <w:rPr>
          <w:rFonts w:ascii="Verdana" w:hAnsi="Verdana"/>
          <w:bCs/>
          <w:sz w:val="20"/>
          <w:szCs w:val="20"/>
        </w:rPr>
        <w:t>, in termini soggettivi</w:t>
      </w:r>
      <w:r w:rsidR="00812675">
        <w:rPr>
          <w:rFonts w:ascii="Verdana" w:hAnsi="Verdana"/>
          <w:bCs/>
          <w:sz w:val="20"/>
          <w:szCs w:val="20"/>
        </w:rPr>
        <w:t>,</w:t>
      </w:r>
      <w:r w:rsidR="003F31B5" w:rsidRPr="00F10358">
        <w:rPr>
          <w:rFonts w:ascii="Verdana" w:hAnsi="Verdana"/>
          <w:bCs/>
          <w:sz w:val="20"/>
          <w:szCs w:val="20"/>
        </w:rPr>
        <w:t xml:space="preserve"> ha come destinatari diretti esclusivamente i comuni, e indirettamente il CISS, in quanto loro organo, sebbene con autonoma personalità giuridica. </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b/>
          <w:bCs/>
          <w:sz w:val="20"/>
          <w:szCs w:val="20"/>
        </w:rPr>
        <w:t>2.</w:t>
      </w:r>
      <w:r w:rsidRPr="00F10358">
        <w:rPr>
          <w:rFonts w:ascii="Verdana" w:hAnsi="Verdana"/>
          <w:b/>
          <w:color w:val="000000" w:themeColor="text1"/>
          <w:sz w:val="20"/>
          <w:szCs w:val="20"/>
        </w:rPr>
        <w:t xml:space="preserve"> Modalità del contraddittorio.</w:t>
      </w:r>
      <w:r w:rsidRPr="00F10358">
        <w:rPr>
          <w:rFonts w:ascii="Verdana" w:hAnsi="Verdana"/>
          <w:bCs/>
          <w:sz w:val="20"/>
          <w:szCs w:val="20"/>
        </w:rPr>
        <w:t xml:space="preserve"> La documentazione trasmessa</w:t>
      </w:r>
      <w:r w:rsidRPr="00F10358">
        <w:rPr>
          <w:rFonts w:ascii="Verdana" w:hAnsi="Verdana"/>
          <w:color w:val="000000" w:themeColor="text1"/>
          <w:sz w:val="20"/>
          <w:szCs w:val="20"/>
        </w:rPr>
        <w:t>, a valle dell’ordinanza istruttoria di questa Sezione n. 218 del 12 ottobre 2015, dai vari Comuni coinvolti, è pervenuta con distinte note ma riporta contenuti pressoché identici</w:t>
      </w:r>
      <w:r w:rsidR="00812675">
        <w:rPr>
          <w:rFonts w:ascii="Verdana" w:hAnsi="Verdana"/>
          <w:color w:val="000000" w:themeColor="text1"/>
          <w:sz w:val="20"/>
          <w:szCs w:val="20"/>
        </w:rPr>
        <w:t>;</w:t>
      </w:r>
      <w:r w:rsidR="00812675" w:rsidRPr="00F10358">
        <w:rPr>
          <w:rFonts w:ascii="Verdana" w:hAnsi="Verdana"/>
          <w:color w:val="000000" w:themeColor="text1"/>
          <w:sz w:val="20"/>
          <w:szCs w:val="20"/>
        </w:rPr>
        <w:t xml:space="preserve"> </w:t>
      </w:r>
      <w:r w:rsidRPr="00F10358">
        <w:rPr>
          <w:rFonts w:ascii="Verdana" w:hAnsi="Verdana"/>
          <w:color w:val="000000" w:themeColor="text1"/>
          <w:sz w:val="20"/>
          <w:szCs w:val="20"/>
        </w:rPr>
        <w:t xml:space="preserve">in particolare, </w:t>
      </w:r>
      <w:r w:rsidR="00812675">
        <w:rPr>
          <w:rFonts w:ascii="Verdana" w:hAnsi="Verdana"/>
          <w:color w:val="000000" w:themeColor="text1"/>
          <w:sz w:val="20"/>
          <w:szCs w:val="20"/>
        </w:rPr>
        <w:t xml:space="preserve">ai fini del presente referto, </w:t>
      </w:r>
      <w:r w:rsidR="0094600F">
        <w:rPr>
          <w:rFonts w:ascii="Verdana" w:hAnsi="Verdana"/>
          <w:color w:val="000000" w:themeColor="text1"/>
          <w:sz w:val="20"/>
          <w:szCs w:val="20"/>
        </w:rPr>
        <w:t xml:space="preserve">i diversi comuni </w:t>
      </w:r>
      <w:r w:rsidR="004E1794">
        <w:rPr>
          <w:rFonts w:ascii="Verdana" w:hAnsi="Verdana"/>
          <w:color w:val="000000" w:themeColor="text1"/>
          <w:sz w:val="20"/>
          <w:szCs w:val="20"/>
        </w:rPr>
        <w:t xml:space="preserve">interessati </w:t>
      </w:r>
      <w:r w:rsidR="0094600F">
        <w:rPr>
          <w:rFonts w:ascii="Verdana" w:hAnsi="Verdana"/>
          <w:color w:val="000000" w:themeColor="text1"/>
          <w:sz w:val="20"/>
          <w:szCs w:val="20"/>
        </w:rPr>
        <w:t xml:space="preserve">hanno depositato agli atti della Sezione </w:t>
      </w:r>
      <w:r w:rsidRPr="00F10358">
        <w:rPr>
          <w:rFonts w:ascii="Verdana" w:hAnsi="Verdana"/>
          <w:color w:val="000000" w:themeColor="text1"/>
          <w:sz w:val="20"/>
          <w:szCs w:val="20"/>
        </w:rPr>
        <w:t xml:space="preserve">la relazione degli organi sociali del CISS,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n. 2329 del 12 novembre 2015 e la relazione trasmessa dall’Amminis</w:t>
      </w:r>
      <w:r w:rsidR="007A477B" w:rsidRPr="00F10358">
        <w:rPr>
          <w:rFonts w:ascii="Verdana" w:hAnsi="Verdana"/>
          <w:color w:val="000000" w:themeColor="text1"/>
          <w:sz w:val="20"/>
          <w:szCs w:val="20"/>
        </w:rPr>
        <w:t xml:space="preserve">tratore delegato di </w:t>
      </w:r>
      <w:r w:rsidR="003B4079">
        <w:rPr>
          <w:rFonts w:ascii="Verdana" w:hAnsi="Verdana"/>
          <w:color w:val="000000" w:themeColor="text1"/>
          <w:sz w:val="20"/>
          <w:szCs w:val="20"/>
        </w:rPr>
        <w:t>INCOFARMA</w:t>
      </w:r>
      <w:r w:rsidR="007A477B" w:rsidRPr="00F10358">
        <w:rPr>
          <w:rFonts w:ascii="Verdana" w:hAnsi="Verdana"/>
          <w:color w:val="000000" w:themeColor="text1"/>
          <w:sz w:val="20"/>
          <w:szCs w:val="20"/>
        </w:rPr>
        <w:t xml:space="preserve"> </w:t>
      </w:r>
      <w:proofErr w:type="spellStart"/>
      <w:r w:rsidR="007A477B" w:rsidRPr="00F10358">
        <w:rPr>
          <w:rFonts w:ascii="Verdana" w:hAnsi="Verdana"/>
          <w:color w:val="000000" w:themeColor="text1"/>
          <w:sz w:val="20"/>
          <w:szCs w:val="20"/>
        </w:rPr>
        <w:t>s.p.a.</w:t>
      </w:r>
      <w:proofErr w:type="spellEnd"/>
      <w:r w:rsidRPr="00F10358">
        <w:rPr>
          <w:rFonts w:ascii="Verdana" w:hAnsi="Verdana"/>
          <w:color w:val="000000" w:themeColor="text1"/>
          <w:sz w:val="20"/>
          <w:szCs w:val="20"/>
        </w:rPr>
        <w:t xml:space="preserve"> al Comune di Sant’Antonio Ab</w:t>
      </w:r>
      <w:r w:rsidR="007A477B" w:rsidRPr="00F10358">
        <w:rPr>
          <w:rFonts w:ascii="Verdana" w:hAnsi="Verdana"/>
          <w:color w:val="000000" w:themeColor="text1"/>
          <w:sz w:val="20"/>
          <w:szCs w:val="20"/>
        </w:rPr>
        <w:t>b</w:t>
      </w:r>
      <w:r w:rsidRPr="00F10358">
        <w:rPr>
          <w:rFonts w:ascii="Verdana" w:hAnsi="Verdana"/>
          <w:color w:val="000000" w:themeColor="text1"/>
          <w:sz w:val="20"/>
          <w:szCs w:val="20"/>
        </w:rPr>
        <w:t xml:space="preserve">ate con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xml:space="preserve">. n. 29430 del 12 novembre 2015 ed inviata a questa Sezione con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xml:space="preserve">. </w:t>
      </w:r>
      <w:proofErr w:type="spellStart"/>
      <w:r w:rsidRPr="00F10358">
        <w:rPr>
          <w:rFonts w:ascii="Verdana" w:hAnsi="Verdana"/>
          <w:color w:val="000000" w:themeColor="text1"/>
          <w:sz w:val="20"/>
          <w:szCs w:val="20"/>
        </w:rPr>
        <w:t>C.d.C</w:t>
      </w:r>
      <w:proofErr w:type="spellEnd"/>
      <w:r w:rsidRPr="00F10358">
        <w:rPr>
          <w:rFonts w:ascii="Verdana" w:hAnsi="Verdana"/>
          <w:color w:val="000000" w:themeColor="text1"/>
          <w:sz w:val="20"/>
          <w:szCs w:val="20"/>
        </w:rPr>
        <w:t>. n. 4796 del 13 novembre 2015).</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L’analisi è stata quindi condotta tenendo in particolare considerazione le relazioni tecniche degli organismi partecipati di primo e secondo livello, in particolare la documentazione prodotta ai comuni dal CISS. Nell’ultima fase, la Sezione – per il principio di prossimità dell’organismo partecipato con i fatti di gestione interessati dal controllo – ha ritenuto di estendere il contraddittorio, a garanzia del più ampio svolgimento delle argomentazioni, direttamente al CISS, il quale ha presentato proprie memorie autonome ed è intervenuto direttamente in adunanza pubblica.</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 xml:space="preserve">A seguito della relazione di deferimento del Magistrato istruttore, </w:t>
      </w:r>
      <w:r w:rsidR="0094600F">
        <w:rPr>
          <w:rFonts w:ascii="Verdana" w:hAnsi="Verdana"/>
          <w:color w:val="000000" w:themeColor="text1"/>
          <w:sz w:val="20"/>
          <w:szCs w:val="20"/>
        </w:rPr>
        <w:t xml:space="preserve">pertanto, </w:t>
      </w:r>
      <w:r w:rsidRPr="00F10358">
        <w:rPr>
          <w:rFonts w:ascii="Verdana" w:hAnsi="Verdana"/>
          <w:color w:val="000000" w:themeColor="text1"/>
          <w:sz w:val="20"/>
          <w:szCs w:val="20"/>
        </w:rPr>
        <w:t xml:space="preserve">i comuni sono stati unitariamente convocati nell’adunanza pubblica del 28 settembre 2016 con l’ordinanza </w:t>
      </w:r>
      <w:r w:rsidRPr="00F10358">
        <w:rPr>
          <w:rFonts w:ascii="Verdana" w:hAnsi="Verdana"/>
          <w:color w:val="000000" w:themeColor="text1"/>
          <w:sz w:val="20"/>
          <w:szCs w:val="20"/>
        </w:rPr>
        <w:lastRenderedPageBreak/>
        <w:t xml:space="preserve">presidenziale n. 60/2016, insieme al Consorzio CISS, con facoltà di presentare memorie. </w:t>
      </w:r>
      <w:proofErr w:type="gramStart"/>
      <w:r w:rsidRPr="00F10358">
        <w:rPr>
          <w:rFonts w:ascii="Verdana" w:hAnsi="Verdana"/>
          <w:color w:val="000000" w:themeColor="text1"/>
          <w:sz w:val="20"/>
          <w:szCs w:val="20"/>
        </w:rPr>
        <w:t>l</w:t>
      </w:r>
      <w:proofErr w:type="gramEnd"/>
      <w:r w:rsidRPr="00F10358">
        <w:rPr>
          <w:rFonts w:ascii="Verdana" w:hAnsi="Verdana"/>
          <w:color w:val="000000" w:themeColor="text1"/>
          <w:sz w:val="20"/>
          <w:szCs w:val="20"/>
        </w:rPr>
        <w:t xml:space="preserve"> CISS è intervenuto in adunanza </w:t>
      </w:r>
      <w:r w:rsidR="00461803">
        <w:rPr>
          <w:rFonts w:ascii="Verdana" w:hAnsi="Verdana"/>
          <w:color w:val="000000" w:themeColor="text1"/>
          <w:sz w:val="20"/>
          <w:szCs w:val="20"/>
        </w:rPr>
        <w:t>c</w:t>
      </w:r>
      <w:r w:rsidRPr="00F10358">
        <w:rPr>
          <w:rFonts w:ascii="Verdana" w:hAnsi="Verdana"/>
          <w:color w:val="000000" w:themeColor="text1"/>
          <w:sz w:val="20"/>
          <w:szCs w:val="20"/>
        </w:rPr>
        <w:t>on i vertici del C.d.</w:t>
      </w:r>
      <w:r w:rsidR="00E23191">
        <w:rPr>
          <w:rFonts w:ascii="Verdana" w:hAnsi="Verdana"/>
          <w:color w:val="000000" w:themeColor="text1"/>
          <w:sz w:val="20"/>
          <w:szCs w:val="20"/>
        </w:rPr>
        <w:t>A</w:t>
      </w:r>
      <w:r w:rsidRPr="00F10358">
        <w:rPr>
          <w:rFonts w:ascii="Verdana" w:hAnsi="Verdana"/>
          <w:color w:val="000000" w:themeColor="text1"/>
          <w:sz w:val="20"/>
          <w:szCs w:val="20"/>
        </w:rPr>
        <w:t>. ed il nuovo Direttore generale.</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In sede di deferimento</w:t>
      </w:r>
      <w:r w:rsidR="00287723">
        <w:rPr>
          <w:rFonts w:ascii="Verdana" w:hAnsi="Verdana"/>
          <w:color w:val="000000" w:themeColor="text1"/>
          <w:sz w:val="20"/>
          <w:szCs w:val="20"/>
        </w:rPr>
        <w:t xml:space="preserve"> </w:t>
      </w:r>
      <w:r w:rsidRPr="00F10358">
        <w:rPr>
          <w:rFonts w:ascii="Verdana" w:hAnsi="Verdana"/>
          <w:color w:val="000000" w:themeColor="text1"/>
          <w:sz w:val="20"/>
          <w:szCs w:val="20"/>
        </w:rPr>
        <w:t>il Magistrato istruttore rimetteva all’esame collegiale l’esame e l’eventuale accertamento delle seguenti criticità:</w:t>
      </w:r>
    </w:p>
    <w:p w:rsidR="003F31B5" w:rsidRPr="00F10358" w:rsidRDefault="003F31B5" w:rsidP="003F31B5">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F10358">
        <w:rPr>
          <w:rFonts w:ascii="Verdana" w:hAnsi="Verdana"/>
          <w:color w:val="000000" w:themeColor="text1"/>
          <w:sz w:val="20"/>
          <w:szCs w:val="20"/>
        </w:rPr>
        <w:t>irregolarità</w:t>
      </w:r>
      <w:proofErr w:type="gramEnd"/>
      <w:r w:rsidRPr="00F10358">
        <w:rPr>
          <w:rFonts w:ascii="Verdana" w:hAnsi="Verdana"/>
          <w:color w:val="000000" w:themeColor="text1"/>
          <w:sz w:val="20"/>
          <w:szCs w:val="20"/>
        </w:rPr>
        <w:t xml:space="preserve"> nella procedura di costituzione di </w:t>
      </w:r>
      <w:r w:rsidR="003B4079">
        <w:rPr>
          <w:rFonts w:ascii="Verdana" w:hAnsi="Verdana"/>
          <w:color w:val="000000" w:themeColor="text1"/>
          <w:sz w:val="20"/>
          <w:szCs w:val="20"/>
        </w:rPr>
        <w:t>INCOFARMA</w:t>
      </w:r>
      <w:r w:rsidRPr="00F10358">
        <w:rPr>
          <w:rFonts w:ascii="Verdana" w:hAnsi="Verdana"/>
          <w:color w:val="000000" w:themeColor="text1"/>
          <w:sz w:val="20"/>
          <w:szCs w:val="20"/>
        </w:rPr>
        <w:t>, per elusione della normativa speciale di settore sulle farmacie, in quanto la stessa non contempla la gestione a mezzo di società mista a prevalente capitale privato;</w:t>
      </w:r>
    </w:p>
    <w:p w:rsidR="003F31B5" w:rsidRPr="00F10358" w:rsidRDefault="003F31B5" w:rsidP="003F31B5">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F10358">
        <w:rPr>
          <w:rFonts w:ascii="Verdana" w:hAnsi="Verdana"/>
          <w:color w:val="000000" w:themeColor="text1"/>
          <w:sz w:val="20"/>
          <w:szCs w:val="20"/>
        </w:rPr>
        <w:t>irregolarità</w:t>
      </w:r>
      <w:proofErr w:type="gramEnd"/>
      <w:r w:rsidRPr="00F10358">
        <w:rPr>
          <w:rFonts w:ascii="Verdana" w:hAnsi="Verdana"/>
          <w:color w:val="000000" w:themeColor="text1"/>
          <w:sz w:val="20"/>
          <w:szCs w:val="20"/>
        </w:rPr>
        <w:t xml:space="preserve"> del sistema di conferimento automatico delle nuove sedi </w:t>
      </w:r>
      <w:proofErr w:type="spellStart"/>
      <w:r w:rsidRPr="00F10358">
        <w:rPr>
          <w:rFonts w:ascii="Verdana" w:hAnsi="Verdana"/>
          <w:color w:val="000000" w:themeColor="text1"/>
          <w:sz w:val="20"/>
          <w:szCs w:val="20"/>
        </w:rPr>
        <w:t>prelazionate</w:t>
      </w:r>
      <w:proofErr w:type="spellEnd"/>
      <w:r w:rsidRPr="00F10358">
        <w:rPr>
          <w:rFonts w:ascii="Verdana" w:hAnsi="Verdana"/>
          <w:color w:val="000000" w:themeColor="text1"/>
          <w:sz w:val="20"/>
          <w:szCs w:val="20"/>
        </w:rPr>
        <w:t xml:space="preserve"> presso la partecipata indiretta, </w:t>
      </w:r>
      <w:r w:rsidR="003B4079">
        <w:rPr>
          <w:rFonts w:ascii="Verdana" w:hAnsi="Verdana"/>
          <w:color w:val="000000" w:themeColor="text1"/>
          <w:sz w:val="20"/>
          <w:szCs w:val="20"/>
        </w:rPr>
        <w:t>INCOFARMA</w:t>
      </w:r>
      <w:r w:rsidRPr="00F10358">
        <w:rPr>
          <w:rFonts w:ascii="Verdana" w:hAnsi="Verdana"/>
          <w:color w:val="000000" w:themeColor="text1"/>
          <w:sz w:val="20"/>
          <w:szCs w:val="20"/>
        </w:rPr>
        <w:t>;</w:t>
      </w:r>
    </w:p>
    <w:p w:rsidR="003F31B5" w:rsidRPr="00F10358" w:rsidRDefault="003F31B5" w:rsidP="003F31B5">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F10358">
        <w:rPr>
          <w:rFonts w:ascii="Verdana" w:hAnsi="Verdana"/>
          <w:color w:val="000000" w:themeColor="text1"/>
          <w:sz w:val="20"/>
          <w:szCs w:val="20"/>
        </w:rPr>
        <w:t>inadeguatezza</w:t>
      </w:r>
      <w:proofErr w:type="gramEnd"/>
      <w:r w:rsidRPr="00F10358">
        <w:rPr>
          <w:rFonts w:ascii="Verdana" w:hAnsi="Verdana"/>
          <w:color w:val="000000" w:themeColor="text1"/>
          <w:sz w:val="20"/>
          <w:szCs w:val="20"/>
        </w:rPr>
        <w:t xml:space="preserve"> del sistema di controllo interni, attesa la rottura del necessario vincolo e coincidenza di titolarità e gestione della farmacia richiesta dalla normativa di settore (art. 9 della L. n. 475/1968);</w:t>
      </w:r>
    </w:p>
    <w:p w:rsidR="003F31B5" w:rsidRPr="00F10358" w:rsidRDefault="003F31B5" w:rsidP="003F31B5">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F10358">
        <w:rPr>
          <w:rFonts w:ascii="Verdana" w:hAnsi="Verdana"/>
          <w:color w:val="000000" w:themeColor="text1"/>
          <w:sz w:val="20"/>
          <w:szCs w:val="20"/>
        </w:rPr>
        <w:t>dubbia</w:t>
      </w:r>
      <w:proofErr w:type="gramEnd"/>
      <w:r w:rsidRPr="00F10358">
        <w:rPr>
          <w:rFonts w:ascii="Verdana" w:hAnsi="Verdana"/>
          <w:color w:val="000000" w:themeColor="text1"/>
          <w:sz w:val="20"/>
          <w:szCs w:val="20"/>
        </w:rPr>
        <w:t xml:space="preserve"> adeguatezza dell’</w:t>
      </w:r>
      <w:proofErr w:type="spellStart"/>
      <w:r w:rsidRPr="00F10358">
        <w:rPr>
          <w:rFonts w:ascii="Verdana" w:hAnsi="Verdana"/>
          <w:i/>
          <w:color w:val="000000" w:themeColor="text1"/>
          <w:sz w:val="20"/>
          <w:szCs w:val="20"/>
        </w:rPr>
        <w:t>income-return</w:t>
      </w:r>
      <w:proofErr w:type="spellEnd"/>
      <w:r w:rsidRPr="00F10358">
        <w:rPr>
          <w:rFonts w:ascii="Verdana" w:hAnsi="Verdana"/>
          <w:i/>
          <w:color w:val="000000" w:themeColor="text1"/>
          <w:sz w:val="20"/>
          <w:szCs w:val="20"/>
        </w:rPr>
        <w:t xml:space="preserve"> </w:t>
      </w:r>
      <w:r w:rsidRPr="00F10358">
        <w:rPr>
          <w:rFonts w:ascii="Verdana" w:hAnsi="Verdana"/>
          <w:color w:val="000000" w:themeColor="text1"/>
          <w:sz w:val="20"/>
          <w:szCs w:val="20"/>
        </w:rPr>
        <w:t>per lo sfruttamento delle licenze da parte del socio privato.</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Hanno presentato memorie il CISS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C.C. n. 4934 del 26 settembre 2016); il Comune di Cesa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C.C. n. 4929 del 26 settembre 2016), il Comune di Sant’Antonio Abbate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xml:space="preserve">. C.C. n. 4933 del 26 settembre 2016); il Comune di Calvizzano (memoria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C.C. 2432 del 26 settembre 2016).</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Il Revisore di Crispano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C.C. n. 4939 del 27 settembre 2016) ha comunicato di avere sollecitato una relazione da parte del Comune che nulla ha fatto pervenire.</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Il Comune di Calvizzano</w:t>
      </w:r>
      <w:r w:rsidR="0094600F">
        <w:rPr>
          <w:rFonts w:ascii="Verdana" w:hAnsi="Verdana"/>
          <w:color w:val="000000" w:themeColor="text1"/>
          <w:sz w:val="20"/>
          <w:szCs w:val="20"/>
        </w:rPr>
        <w:t>,</w:t>
      </w:r>
      <w:r w:rsidRPr="00F10358">
        <w:rPr>
          <w:rFonts w:ascii="Verdana" w:hAnsi="Verdana"/>
          <w:color w:val="000000" w:themeColor="text1"/>
          <w:sz w:val="20"/>
          <w:szCs w:val="20"/>
        </w:rPr>
        <w:t xml:space="preserve"> con la </w:t>
      </w:r>
      <w:r w:rsidR="005802FE">
        <w:rPr>
          <w:rFonts w:ascii="Verdana" w:hAnsi="Verdana"/>
          <w:color w:val="000000" w:themeColor="text1"/>
          <w:sz w:val="20"/>
          <w:szCs w:val="20"/>
        </w:rPr>
        <w:t>cennata</w:t>
      </w:r>
      <w:r w:rsidR="005802FE" w:rsidRPr="00F10358">
        <w:rPr>
          <w:rFonts w:ascii="Verdana" w:hAnsi="Verdana"/>
          <w:color w:val="000000" w:themeColor="text1"/>
          <w:sz w:val="20"/>
          <w:szCs w:val="20"/>
        </w:rPr>
        <w:t xml:space="preserve"> </w:t>
      </w:r>
      <w:r w:rsidRPr="00F10358">
        <w:rPr>
          <w:rFonts w:ascii="Verdana" w:hAnsi="Verdana"/>
          <w:color w:val="000000" w:themeColor="text1"/>
          <w:sz w:val="20"/>
          <w:szCs w:val="20"/>
        </w:rPr>
        <w:t>memoria</w:t>
      </w:r>
      <w:r w:rsidR="0094600F">
        <w:rPr>
          <w:rFonts w:ascii="Verdana" w:hAnsi="Verdana"/>
          <w:color w:val="000000" w:themeColor="text1"/>
          <w:sz w:val="20"/>
          <w:szCs w:val="20"/>
        </w:rPr>
        <w:t>,</w:t>
      </w:r>
      <w:r w:rsidRPr="00F10358">
        <w:rPr>
          <w:rFonts w:ascii="Verdana" w:hAnsi="Verdana"/>
          <w:color w:val="000000" w:themeColor="text1"/>
          <w:sz w:val="20"/>
          <w:szCs w:val="20"/>
        </w:rPr>
        <w:t xml:space="preserve"> ha comunicato alla Sezione </w:t>
      </w:r>
      <w:r w:rsidR="0094600F">
        <w:rPr>
          <w:rFonts w:ascii="Verdana" w:hAnsi="Verdana"/>
          <w:color w:val="000000" w:themeColor="text1"/>
          <w:sz w:val="20"/>
          <w:szCs w:val="20"/>
        </w:rPr>
        <w:t>il</w:t>
      </w:r>
      <w:r w:rsidRPr="00F10358">
        <w:rPr>
          <w:rFonts w:ascii="Verdana" w:hAnsi="Verdana"/>
          <w:color w:val="000000" w:themeColor="text1"/>
          <w:sz w:val="20"/>
          <w:szCs w:val="20"/>
        </w:rPr>
        <w:t xml:space="preserve"> </w:t>
      </w:r>
      <w:r w:rsidR="0094600F" w:rsidRPr="00F10358">
        <w:rPr>
          <w:rFonts w:ascii="Verdana" w:hAnsi="Verdana"/>
          <w:color w:val="000000" w:themeColor="text1"/>
          <w:sz w:val="20"/>
          <w:szCs w:val="20"/>
        </w:rPr>
        <w:t>rece</w:t>
      </w:r>
      <w:r w:rsidR="0094600F">
        <w:rPr>
          <w:rFonts w:ascii="Verdana" w:hAnsi="Verdana"/>
          <w:color w:val="000000" w:themeColor="text1"/>
          <w:sz w:val="20"/>
          <w:szCs w:val="20"/>
        </w:rPr>
        <w:t>sso</w:t>
      </w:r>
      <w:r w:rsidR="0094600F" w:rsidRPr="00F10358">
        <w:rPr>
          <w:rFonts w:ascii="Verdana" w:hAnsi="Verdana"/>
          <w:color w:val="000000" w:themeColor="text1"/>
          <w:sz w:val="20"/>
          <w:szCs w:val="20"/>
        </w:rPr>
        <w:t xml:space="preserve"> </w:t>
      </w:r>
      <w:r w:rsidRPr="00F10358">
        <w:rPr>
          <w:rFonts w:ascii="Verdana" w:hAnsi="Verdana"/>
          <w:color w:val="000000" w:themeColor="text1"/>
          <w:sz w:val="20"/>
          <w:szCs w:val="20"/>
        </w:rPr>
        <w:t xml:space="preserve">dal Consorzio in virtù della deliberazione consiliare n. 21 del 2013. Sebbene su tale vicenda penda contenzioso dinanzi il Consiglio di Stato, il Comune ha comunicato di “non risultare più socio” del Consorzio, circostanza che è stata contestata in adunanza dal CISS, il quale ha precisato che il contenzioso, in primo grado, ha visto soccombente il Comune che, per l’effetto, sarebbe ancora </w:t>
      </w:r>
      <w:r w:rsidR="0004276D">
        <w:rPr>
          <w:rFonts w:ascii="Verdana" w:hAnsi="Verdana"/>
          <w:color w:val="000000" w:themeColor="text1"/>
          <w:sz w:val="20"/>
          <w:szCs w:val="20"/>
        </w:rPr>
        <w:t>membro</w:t>
      </w:r>
      <w:r w:rsidR="0004276D" w:rsidRPr="00F10358">
        <w:rPr>
          <w:rFonts w:ascii="Verdana" w:hAnsi="Verdana"/>
          <w:color w:val="000000" w:themeColor="text1"/>
          <w:sz w:val="20"/>
          <w:szCs w:val="20"/>
        </w:rPr>
        <w:t xml:space="preserve"> </w:t>
      </w:r>
      <w:r w:rsidRPr="00F10358">
        <w:rPr>
          <w:rFonts w:ascii="Verdana" w:hAnsi="Verdana"/>
          <w:color w:val="000000" w:themeColor="text1"/>
          <w:sz w:val="20"/>
          <w:szCs w:val="20"/>
        </w:rPr>
        <w:t>del Consorzio.</w:t>
      </w:r>
    </w:p>
    <w:p w:rsidR="001E5FF0" w:rsidRDefault="003F31B5" w:rsidP="00FE5164">
      <w:pPr>
        <w:shd w:val="clear" w:color="auto" w:fill="FEFFFF"/>
        <w:spacing w:line="360" w:lineRule="auto"/>
        <w:ind w:firstLine="354"/>
        <w:jc w:val="both"/>
        <w:rPr>
          <w:rFonts w:ascii="Verdana" w:hAnsi="Verdana"/>
          <w:color w:val="000000" w:themeColor="text1"/>
          <w:sz w:val="20"/>
          <w:szCs w:val="20"/>
        </w:rPr>
      </w:pPr>
      <w:r w:rsidRPr="00CE2318">
        <w:rPr>
          <w:rFonts w:ascii="Verdana" w:hAnsi="Verdana"/>
          <w:color w:val="000000" w:themeColor="text1"/>
          <w:sz w:val="20"/>
          <w:szCs w:val="20"/>
        </w:rPr>
        <w:t>In adu</w:t>
      </w:r>
      <w:r w:rsidR="00FE5164" w:rsidRPr="00CE2318">
        <w:rPr>
          <w:rFonts w:ascii="Verdana" w:hAnsi="Verdana"/>
          <w:color w:val="000000" w:themeColor="text1"/>
          <w:sz w:val="20"/>
          <w:szCs w:val="20"/>
        </w:rPr>
        <w:t>nanza pubblica sono intervenuti</w:t>
      </w:r>
      <w:r w:rsidR="0004276D">
        <w:rPr>
          <w:rFonts w:ascii="Verdana" w:hAnsi="Verdana"/>
          <w:color w:val="000000" w:themeColor="text1"/>
          <w:sz w:val="20"/>
          <w:szCs w:val="20"/>
        </w:rPr>
        <w:t>:</w:t>
      </w:r>
      <w:r w:rsidR="00FE5164" w:rsidRPr="00CE2318">
        <w:rPr>
          <w:rFonts w:ascii="Verdana" w:hAnsi="Verdana"/>
          <w:color w:val="000000" w:themeColor="text1"/>
          <w:sz w:val="20"/>
          <w:szCs w:val="20"/>
        </w:rPr>
        <w:t xml:space="preserve"> </w:t>
      </w:r>
    </w:p>
    <w:p w:rsidR="00FE5164" w:rsidRPr="001E5FF0" w:rsidRDefault="00FE5164" w:rsidP="001E5FF0">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1E5FF0">
        <w:rPr>
          <w:rFonts w:ascii="Verdana" w:hAnsi="Verdana"/>
          <w:color w:val="000000" w:themeColor="text1"/>
          <w:sz w:val="20"/>
          <w:szCs w:val="20"/>
        </w:rPr>
        <w:t>il</w:t>
      </w:r>
      <w:proofErr w:type="gramEnd"/>
      <w:r w:rsidRPr="001E5FF0">
        <w:rPr>
          <w:rFonts w:ascii="Verdana" w:hAnsi="Verdana"/>
          <w:color w:val="000000" w:themeColor="text1"/>
          <w:sz w:val="20"/>
          <w:szCs w:val="20"/>
        </w:rPr>
        <w:t xml:space="preserve"> comune di Cesa, </w:t>
      </w:r>
      <w:r w:rsidR="001E5FF0">
        <w:rPr>
          <w:rFonts w:ascii="Verdana" w:hAnsi="Verdana"/>
          <w:color w:val="000000" w:themeColor="text1"/>
          <w:sz w:val="20"/>
          <w:szCs w:val="20"/>
        </w:rPr>
        <w:t xml:space="preserve">con </w:t>
      </w:r>
      <w:r w:rsidRPr="001E5FF0">
        <w:rPr>
          <w:rFonts w:ascii="Verdana" w:hAnsi="Verdana"/>
          <w:color w:val="000000" w:themeColor="text1"/>
          <w:sz w:val="20"/>
          <w:szCs w:val="20"/>
        </w:rPr>
        <w:t>il R</w:t>
      </w:r>
      <w:r w:rsidR="006527D1">
        <w:rPr>
          <w:rFonts w:ascii="Verdana" w:hAnsi="Verdana"/>
          <w:color w:val="000000" w:themeColor="text1"/>
          <w:sz w:val="20"/>
          <w:szCs w:val="20"/>
        </w:rPr>
        <w:t>esponsabile dell’Area Contabile</w:t>
      </w:r>
      <w:r w:rsidR="001E5FF0">
        <w:rPr>
          <w:rFonts w:ascii="Verdana" w:hAnsi="Verdana"/>
          <w:color w:val="000000" w:themeColor="text1"/>
          <w:sz w:val="20"/>
          <w:szCs w:val="20"/>
        </w:rPr>
        <w:t>;</w:t>
      </w:r>
    </w:p>
    <w:p w:rsidR="001E5FF0" w:rsidRDefault="00FE5164" w:rsidP="001E5FF0">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1E5FF0">
        <w:rPr>
          <w:rFonts w:ascii="Verdana" w:hAnsi="Verdana"/>
          <w:color w:val="000000" w:themeColor="text1"/>
          <w:sz w:val="20"/>
          <w:szCs w:val="20"/>
        </w:rPr>
        <w:t>il</w:t>
      </w:r>
      <w:proofErr w:type="gramEnd"/>
      <w:r w:rsidRPr="001E5FF0">
        <w:rPr>
          <w:rFonts w:ascii="Verdana" w:hAnsi="Verdana"/>
          <w:color w:val="000000" w:themeColor="text1"/>
          <w:sz w:val="20"/>
          <w:szCs w:val="20"/>
        </w:rPr>
        <w:t xml:space="preserve"> comune di </w:t>
      </w:r>
      <w:proofErr w:type="spellStart"/>
      <w:r w:rsidRPr="001E5FF0">
        <w:rPr>
          <w:rFonts w:ascii="Verdana" w:hAnsi="Verdana"/>
          <w:color w:val="000000" w:themeColor="text1"/>
          <w:sz w:val="20"/>
          <w:szCs w:val="20"/>
        </w:rPr>
        <w:t>Castelvolturno</w:t>
      </w:r>
      <w:proofErr w:type="spellEnd"/>
      <w:r w:rsidRPr="001E5FF0">
        <w:rPr>
          <w:rFonts w:ascii="Verdana" w:hAnsi="Verdana"/>
          <w:color w:val="000000" w:themeColor="text1"/>
          <w:sz w:val="20"/>
          <w:szCs w:val="20"/>
        </w:rPr>
        <w:t xml:space="preserve">, </w:t>
      </w:r>
      <w:r w:rsidR="001E5FF0">
        <w:rPr>
          <w:rFonts w:ascii="Verdana" w:hAnsi="Verdana"/>
          <w:color w:val="000000" w:themeColor="text1"/>
          <w:sz w:val="20"/>
          <w:szCs w:val="20"/>
        </w:rPr>
        <w:t xml:space="preserve">con il Sindaco, altresì Presidente di </w:t>
      </w:r>
      <w:r w:rsidR="003B4079">
        <w:rPr>
          <w:rFonts w:ascii="Verdana" w:hAnsi="Verdana"/>
          <w:color w:val="000000" w:themeColor="text1"/>
          <w:sz w:val="20"/>
          <w:szCs w:val="20"/>
        </w:rPr>
        <w:t>INCOFARMA</w:t>
      </w:r>
      <w:r w:rsidR="0004276D">
        <w:rPr>
          <w:rFonts w:ascii="Verdana" w:hAnsi="Verdana"/>
          <w:color w:val="000000" w:themeColor="text1"/>
          <w:sz w:val="20"/>
          <w:szCs w:val="20"/>
        </w:rPr>
        <w:t>;</w:t>
      </w:r>
    </w:p>
    <w:p w:rsidR="001E5FF0" w:rsidRDefault="001E5FF0" w:rsidP="001E5FF0">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Pr>
          <w:rFonts w:ascii="Verdana" w:hAnsi="Verdana"/>
          <w:color w:val="000000" w:themeColor="text1"/>
          <w:sz w:val="20"/>
          <w:szCs w:val="20"/>
        </w:rPr>
        <w:t>il</w:t>
      </w:r>
      <w:proofErr w:type="gramEnd"/>
      <w:r>
        <w:rPr>
          <w:rFonts w:ascii="Verdana" w:hAnsi="Verdana"/>
          <w:color w:val="000000" w:themeColor="text1"/>
          <w:sz w:val="20"/>
          <w:szCs w:val="20"/>
        </w:rPr>
        <w:t xml:space="preserve"> comune di Cellole, con Vice Sindaco;</w:t>
      </w:r>
    </w:p>
    <w:p w:rsidR="006527D1" w:rsidRDefault="006527D1" w:rsidP="006527D1">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Pr>
          <w:rFonts w:ascii="Verdana" w:hAnsi="Verdana"/>
          <w:color w:val="000000" w:themeColor="text1"/>
          <w:sz w:val="20"/>
          <w:szCs w:val="20"/>
        </w:rPr>
        <w:t>il</w:t>
      </w:r>
      <w:proofErr w:type="gramEnd"/>
      <w:r>
        <w:rPr>
          <w:rFonts w:ascii="Verdana" w:hAnsi="Verdana"/>
          <w:color w:val="000000" w:themeColor="text1"/>
          <w:sz w:val="20"/>
          <w:szCs w:val="20"/>
        </w:rPr>
        <w:t xml:space="preserve"> comune di</w:t>
      </w:r>
      <w:r w:rsidR="00FE5164" w:rsidRPr="001E5FF0">
        <w:rPr>
          <w:rFonts w:ascii="Verdana" w:hAnsi="Verdana"/>
          <w:color w:val="000000" w:themeColor="text1"/>
          <w:sz w:val="20"/>
          <w:szCs w:val="20"/>
        </w:rPr>
        <w:t xml:space="preserve"> Acerra, </w:t>
      </w:r>
      <w:r w:rsidR="001E5FF0">
        <w:rPr>
          <w:rFonts w:ascii="Verdana" w:hAnsi="Verdana"/>
          <w:color w:val="000000" w:themeColor="text1"/>
          <w:sz w:val="20"/>
          <w:szCs w:val="20"/>
        </w:rPr>
        <w:t xml:space="preserve">con </w:t>
      </w:r>
      <w:r w:rsidR="00FE5164" w:rsidRPr="001E5FF0">
        <w:rPr>
          <w:rFonts w:ascii="Verdana" w:hAnsi="Verdana"/>
          <w:color w:val="000000" w:themeColor="text1"/>
          <w:sz w:val="20"/>
          <w:szCs w:val="20"/>
        </w:rPr>
        <w:t>l’Assessore alle finanze ed il Funz</w:t>
      </w:r>
      <w:r>
        <w:rPr>
          <w:rFonts w:ascii="Verdana" w:hAnsi="Verdana"/>
          <w:color w:val="000000" w:themeColor="text1"/>
          <w:sz w:val="20"/>
          <w:szCs w:val="20"/>
        </w:rPr>
        <w:t>ionario dell’Ufficio Ragioneria;</w:t>
      </w:r>
    </w:p>
    <w:p w:rsidR="006527D1" w:rsidRDefault="00FE5164" w:rsidP="006527D1">
      <w:pPr>
        <w:pStyle w:val="Paragrafoelenco"/>
        <w:numPr>
          <w:ilvl w:val="0"/>
          <w:numId w:val="45"/>
        </w:numPr>
        <w:shd w:val="clear" w:color="auto" w:fill="FEFFFF"/>
        <w:spacing w:line="360" w:lineRule="auto"/>
        <w:jc w:val="both"/>
        <w:rPr>
          <w:rFonts w:ascii="Verdana" w:hAnsi="Verdana"/>
          <w:color w:val="000000" w:themeColor="text1"/>
          <w:sz w:val="20"/>
          <w:szCs w:val="20"/>
        </w:rPr>
      </w:pPr>
      <w:r w:rsidRPr="006527D1">
        <w:rPr>
          <w:rFonts w:ascii="Verdana" w:hAnsi="Verdana"/>
          <w:color w:val="000000" w:themeColor="text1"/>
          <w:sz w:val="20"/>
          <w:szCs w:val="20"/>
        </w:rPr>
        <w:t xml:space="preserve"> </w:t>
      </w:r>
      <w:proofErr w:type="gramStart"/>
      <w:r w:rsidRPr="006527D1">
        <w:rPr>
          <w:rFonts w:ascii="Verdana" w:hAnsi="Verdana"/>
          <w:color w:val="000000" w:themeColor="text1"/>
          <w:sz w:val="20"/>
          <w:szCs w:val="20"/>
        </w:rPr>
        <w:t>il</w:t>
      </w:r>
      <w:proofErr w:type="gramEnd"/>
      <w:r w:rsidRPr="006527D1">
        <w:rPr>
          <w:rFonts w:ascii="Verdana" w:hAnsi="Verdana"/>
          <w:color w:val="000000" w:themeColor="text1"/>
          <w:sz w:val="20"/>
          <w:szCs w:val="20"/>
        </w:rPr>
        <w:t xml:space="preserve"> comune di Ottaviano, </w:t>
      </w:r>
      <w:r w:rsidR="006527D1" w:rsidRPr="006527D1">
        <w:rPr>
          <w:rFonts w:ascii="Verdana" w:hAnsi="Verdana"/>
          <w:color w:val="000000" w:themeColor="text1"/>
          <w:sz w:val="20"/>
          <w:szCs w:val="20"/>
        </w:rPr>
        <w:t xml:space="preserve">con </w:t>
      </w:r>
      <w:r w:rsidRPr="006527D1">
        <w:rPr>
          <w:rFonts w:ascii="Verdana" w:hAnsi="Verdana"/>
          <w:color w:val="000000" w:themeColor="text1"/>
          <w:sz w:val="20"/>
          <w:szCs w:val="20"/>
        </w:rPr>
        <w:t>il Responsabile del settore Ragioneria</w:t>
      </w:r>
      <w:r w:rsidR="0004276D">
        <w:rPr>
          <w:rFonts w:ascii="Verdana" w:hAnsi="Verdana"/>
          <w:color w:val="000000" w:themeColor="text1"/>
          <w:sz w:val="20"/>
          <w:szCs w:val="20"/>
        </w:rPr>
        <w:t>;</w:t>
      </w:r>
      <w:r w:rsidR="0004276D" w:rsidRPr="006527D1">
        <w:rPr>
          <w:rFonts w:ascii="Verdana" w:hAnsi="Verdana"/>
          <w:color w:val="000000" w:themeColor="text1"/>
          <w:sz w:val="20"/>
          <w:szCs w:val="20"/>
        </w:rPr>
        <w:t xml:space="preserve"> </w:t>
      </w:r>
    </w:p>
    <w:p w:rsidR="006527D1" w:rsidRDefault="00FE5164" w:rsidP="006527D1">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6527D1">
        <w:rPr>
          <w:rFonts w:ascii="Verdana" w:hAnsi="Verdana"/>
          <w:color w:val="000000" w:themeColor="text1"/>
          <w:sz w:val="20"/>
          <w:szCs w:val="20"/>
        </w:rPr>
        <w:t>il</w:t>
      </w:r>
      <w:proofErr w:type="gramEnd"/>
      <w:r w:rsidRPr="006527D1">
        <w:rPr>
          <w:rFonts w:ascii="Verdana" w:hAnsi="Verdana"/>
          <w:color w:val="000000" w:themeColor="text1"/>
          <w:sz w:val="20"/>
          <w:szCs w:val="20"/>
        </w:rPr>
        <w:t xml:space="preserve"> comune di Poggiomarino, </w:t>
      </w:r>
      <w:r w:rsidR="006527D1">
        <w:rPr>
          <w:rFonts w:ascii="Verdana" w:hAnsi="Verdana"/>
          <w:color w:val="000000" w:themeColor="text1"/>
          <w:sz w:val="20"/>
          <w:szCs w:val="20"/>
        </w:rPr>
        <w:t>con un assessore comunale</w:t>
      </w:r>
      <w:r w:rsidRPr="006527D1">
        <w:rPr>
          <w:rFonts w:ascii="Verdana" w:hAnsi="Verdana"/>
          <w:color w:val="000000" w:themeColor="text1"/>
          <w:sz w:val="20"/>
          <w:szCs w:val="20"/>
        </w:rPr>
        <w:t xml:space="preserve"> delega</w:t>
      </w:r>
      <w:r w:rsidR="006527D1">
        <w:rPr>
          <w:rFonts w:ascii="Verdana" w:hAnsi="Verdana"/>
          <w:color w:val="000000" w:themeColor="text1"/>
          <w:sz w:val="20"/>
          <w:szCs w:val="20"/>
        </w:rPr>
        <w:t>to da</w:t>
      </w:r>
      <w:r w:rsidRPr="006527D1">
        <w:rPr>
          <w:rFonts w:ascii="Verdana" w:hAnsi="Verdana"/>
          <w:color w:val="000000" w:themeColor="text1"/>
          <w:sz w:val="20"/>
          <w:szCs w:val="20"/>
        </w:rPr>
        <w:t>l sindaco</w:t>
      </w:r>
      <w:r w:rsidR="006527D1">
        <w:rPr>
          <w:rFonts w:ascii="Verdana" w:hAnsi="Verdana"/>
          <w:color w:val="000000" w:themeColor="text1"/>
          <w:sz w:val="20"/>
          <w:szCs w:val="20"/>
        </w:rPr>
        <w:t>;</w:t>
      </w:r>
    </w:p>
    <w:p w:rsidR="00FE5164" w:rsidRDefault="006527D1" w:rsidP="006527D1">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6527D1">
        <w:rPr>
          <w:rFonts w:ascii="Verdana" w:hAnsi="Verdana"/>
          <w:color w:val="000000" w:themeColor="text1"/>
          <w:sz w:val="20"/>
          <w:szCs w:val="20"/>
        </w:rPr>
        <w:t>il</w:t>
      </w:r>
      <w:proofErr w:type="gramEnd"/>
      <w:r w:rsidRPr="006527D1">
        <w:rPr>
          <w:rFonts w:ascii="Verdana" w:hAnsi="Verdana"/>
          <w:color w:val="000000" w:themeColor="text1"/>
          <w:sz w:val="20"/>
          <w:szCs w:val="20"/>
        </w:rPr>
        <w:t xml:space="preserve"> CISS con il neo</w:t>
      </w:r>
      <w:r w:rsidR="00FE5164" w:rsidRPr="006527D1">
        <w:rPr>
          <w:rFonts w:ascii="Verdana" w:hAnsi="Verdana"/>
          <w:color w:val="000000" w:themeColor="text1"/>
          <w:sz w:val="20"/>
          <w:szCs w:val="20"/>
        </w:rPr>
        <w:t xml:space="preserve"> il Direttore Generale del Consorzio</w:t>
      </w:r>
      <w:r w:rsidR="0004276D">
        <w:rPr>
          <w:rFonts w:ascii="Verdana" w:hAnsi="Verdana"/>
          <w:color w:val="000000" w:themeColor="text1"/>
          <w:sz w:val="20"/>
          <w:szCs w:val="20"/>
        </w:rPr>
        <w:t>;</w:t>
      </w:r>
    </w:p>
    <w:p w:rsidR="0098105E" w:rsidRPr="004753CD" w:rsidRDefault="00287723" w:rsidP="004753CD">
      <w:pPr>
        <w:pStyle w:val="Paragrafoelenco"/>
        <w:numPr>
          <w:ilvl w:val="0"/>
          <w:numId w:val="45"/>
        </w:numPr>
        <w:shd w:val="clear" w:color="auto" w:fill="FEFFFF"/>
        <w:spacing w:line="360" w:lineRule="auto"/>
        <w:jc w:val="both"/>
        <w:rPr>
          <w:rFonts w:ascii="Verdana" w:hAnsi="Verdana"/>
          <w:color w:val="000000" w:themeColor="text1"/>
          <w:sz w:val="20"/>
          <w:szCs w:val="20"/>
        </w:rPr>
      </w:pPr>
      <w:r>
        <w:rPr>
          <w:rFonts w:ascii="Verdana" w:hAnsi="Verdana"/>
          <w:color w:val="000000" w:themeColor="text1"/>
          <w:sz w:val="20"/>
          <w:szCs w:val="20"/>
        </w:rPr>
        <w:t>l</w:t>
      </w:r>
      <w:r w:rsidR="005802FE">
        <w:rPr>
          <w:rFonts w:ascii="Verdana" w:hAnsi="Verdana"/>
          <w:color w:val="000000" w:themeColor="text1"/>
          <w:sz w:val="20"/>
          <w:szCs w:val="20"/>
        </w:rPr>
        <w:t>’</w:t>
      </w:r>
      <w:r w:rsidR="00CB42CF">
        <w:rPr>
          <w:rFonts w:ascii="Verdana" w:hAnsi="Verdana"/>
          <w:color w:val="000000" w:themeColor="text1"/>
          <w:sz w:val="20"/>
          <w:szCs w:val="20"/>
        </w:rPr>
        <w:t>Amministratore Delegato</w:t>
      </w:r>
      <w:r>
        <w:rPr>
          <w:rFonts w:ascii="Verdana" w:hAnsi="Verdana"/>
          <w:color w:val="000000" w:themeColor="text1"/>
          <w:sz w:val="20"/>
          <w:szCs w:val="20"/>
        </w:rPr>
        <w:t xml:space="preserve"> </w:t>
      </w:r>
      <w:r w:rsidR="0004276D" w:rsidRPr="004753CD">
        <w:rPr>
          <w:rFonts w:ascii="Verdana" w:hAnsi="Verdana"/>
          <w:color w:val="000000" w:themeColor="text1"/>
          <w:sz w:val="20"/>
          <w:szCs w:val="20"/>
        </w:rPr>
        <w:t xml:space="preserve">di </w:t>
      </w:r>
      <w:r w:rsidR="003B4079">
        <w:rPr>
          <w:rFonts w:ascii="Verdana" w:hAnsi="Verdana"/>
          <w:color w:val="000000" w:themeColor="text1"/>
          <w:sz w:val="20"/>
          <w:szCs w:val="20"/>
        </w:rPr>
        <w:t>INCOFARMA</w:t>
      </w:r>
      <w:r w:rsidR="0098105E" w:rsidRPr="004753CD">
        <w:rPr>
          <w:rFonts w:ascii="Verdana" w:hAnsi="Verdana"/>
          <w:color w:val="000000" w:themeColor="text1"/>
          <w:sz w:val="20"/>
          <w:szCs w:val="20"/>
        </w:rPr>
        <w:t xml:space="preserve">, che ha chiesto di poter essere </w:t>
      </w:r>
      <w:proofErr w:type="spellStart"/>
      <w:r w:rsidR="0098105E" w:rsidRPr="004753CD">
        <w:rPr>
          <w:rFonts w:ascii="Verdana" w:hAnsi="Verdana"/>
          <w:color w:val="000000" w:themeColor="text1"/>
          <w:sz w:val="20"/>
          <w:szCs w:val="20"/>
        </w:rPr>
        <w:t>audito</w:t>
      </w:r>
      <w:proofErr w:type="spellEnd"/>
      <w:r w:rsidR="0098105E" w:rsidRPr="004753CD">
        <w:rPr>
          <w:rFonts w:ascii="Verdana" w:hAnsi="Verdana"/>
          <w:color w:val="000000" w:themeColor="text1"/>
          <w:sz w:val="20"/>
          <w:szCs w:val="20"/>
        </w:rPr>
        <w:t>, pur non rappresentando un soggetto sottoposto al procedimento di controllo.</w:t>
      </w:r>
    </w:p>
    <w:p w:rsidR="00D21D25" w:rsidRPr="0098105E" w:rsidRDefault="00D21D25" w:rsidP="0098105E">
      <w:pPr>
        <w:shd w:val="clear" w:color="auto" w:fill="FEFFFF"/>
        <w:spacing w:line="360" w:lineRule="auto"/>
        <w:ind w:firstLine="354"/>
        <w:jc w:val="both"/>
        <w:rPr>
          <w:rFonts w:ascii="Verdana" w:hAnsi="Verdana"/>
          <w:color w:val="000000" w:themeColor="text1"/>
          <w:sz w:val="20"/>
          <w:szCs w:val="20"/>
        </w:rPr>
      </w:pPr>
      <w:r>
        <w:rPr>
          <w:rFonts w:ascii="Verdana" w:hAnsi="Verdana"/>
          <w:color w:val="000000" w:themeColor="text1"/>
          <w:sz w:val="20"/>
          <w:szCs w:val="20"/>
        </w:rPr>
        <w:t>I rappresentanti comunali hanno variamente evidenziato la convenienza dell’adesione al CISS, che li lascia esenti da perdite e l’</w:t>
      </w:r>
      <w:r w:rsidR="00A03946">
        <w:rPr>
          <w:rFonts w:ascii="Verdana" w:hAnsi="Verdana"/>
          <w:color w:val="000000" w:themeColor="text1"/>
          <w:sz w:val="20"/>
          <w:szCs w:val="20"/>
        </w:rPr>
        <w:t>efficienza</w:t>
      </w:r>
      <w:r w:rsidR="00A6295E">
        <w:rPr>
          <w:rFonts w:ascii="Verdana" w:hAnsi="Verdana"/>
          <w:color w:val="000000" w:themeColor="text1"/>
          <w:sz w:val="20"/>
          <w:szCs w:val="20"/>
        </w:rPr>
        <w:t>, a loro giudizio,</w:t>
      </w:r>
      <w:r w:rsidR="00A03946">
        <w:rPr>
          <w:rFonts w:ascii="Verdana" w:hAnsi="Verdana"/>
          <w:color w:val="000000" w:themeColor="text1"/>
          <w:sz w:val="20"/>
          <w:szCs w:val="20"/>
        </w:rPr>
        <w:t xml:space="preserve"> dei servi</w:t>
      </w:r>
      <w:r>
        <w:rPr>
          <w:rFonts w:ascii="Verdana" w:hAnsi="Verdana"/>
          <w:color w:val="000000" w:themeColor="text1"/>
          <w:sz w:val="20"/>
          <w:szCs w:val="20"/>
        </w:rPr>
        <w:t xml:space="preserve">zi resi alla cittadinanza da </w:t>
      </w:r>
      <w:r w:rsidR="003B4079">
        <w:rPr>
          <w:rFonts w:ascii="Verdana" w:hAnsi="Verdana"/>
          <w:color w:val="000000" w:themeColor="text1"/>
          <w:sz w:val="20"/>
          <w:szCs w:val="20"/>
        </w:rPr>
        <w:t>INCOFARMA</w:t>
      </w:r>
      <w:r w:rsidR="0004276D">
        <w:rPr>
          <w:rFonts w:ascii="Verdana" w:hAnsi="Verdana"/>
          <w:color w:val="000000" w:themeColor="text1"/>
          <w:sz w:val="20"/>
          <w:szCs w:val="20"/>
        </w:rPr>
        <w:t>.</w:t>
      </w:r>
    </w:p>
    <w:p w:rsidR="003F31B5" w:rsidRDefault="00A03946" w:rsidP="003F31B5">
      <w:pPr>
        <w:shd w:val="clear" w:color="auto" w:fill="FEFFFF"/>
        <w:spacing w:line="360" w:lineRule="auto"/>
        <w:ind w:firstLine="354"/>
        <w:jc w:val="both"/>
        <w:rPr>
          <w:rFonts w:ascii="Verdana" w:hAnsi="Verdana"/>
          <w:color w:val="000000" w:themeColor="text1"/>
          <w:sz w:val="20"/>
          <w:szCs w:val="20"/>
        </w:rPr>
      </w:pPr>
      <w:r>
        <w:rPr>
          <w:rFonts w:ascii="Verdana" w:hAnsi="Verdana"/>
          <w:color w:val="000000" w:themeColor="text1"/>
          <w:sz w:val="20"/>
          <w:szCs w:val="20"/>
        </w:rPr>
        <w:lastRenderedPageBreak/>
        <w:t>Il Direttore generale del CISS si è rifatto sostanzialmente al contenuto delle memorie</w:t>
      </w:r>
      <w:r w:rsidR="00E75BCF">
        <w:rPr>
          <w:rFonts w:ascii="Verdana" w:hAnsi="Verdana"/>
          <w:color w:val="000000" w:themeColor="text1"/>
          <w:sz w:val="20"/>
          <w:szCs w:val="20"/>
        </w:rPr>
        <w:t xml:space="preserve"> evidenziando la conformità della costituzione di </w:t>
      </w:r>
      <w:r w:rsidR="003B4079">
        <w:rPr>
          <w:rFonts w:ascii="Verdana" w:hAnsi="Verdana"/>
          <w:color w:val="000000" w:themeColor="text1"/>
          <w:sz w:val="20"/>
          <w:szCs w:val="20"/>
        </w:rPr>
        <w:t>INCOFARMA</w:t>
      </w:r>
      <w:r w:rsidR="00E75BCF">
        <w:rPr>
          <w:rFonts w:ascii="Verdana" w:hAnsi="Verdana"/>
          <w:color w:val="000000" w:themeColor="text1"/>
          <w:sz w:val="20"/>
          <w:szCs w:val="20"/>
        </w:rPr>
        <w:t xml:space="preserve"> al D.P.R. n. 533/1996</w:t>
      </w:r>
      <w:r w:rsidR="0004276D">
        <w:rPr>
          <w:rFonts w:ascii="Verdana" w:hAnsi="Verdana"/>
          <w:color w:val="000000" w:themeColor="text1"/>
          <w:sz w:val="20"/>
          <w:szCs w:val="20"/>
        </w:rPr>
        <w:t>,</w:t>
      </w:r>
      <w:r w:rsidR="00E75BCF">
        <w:rPr>
          <w:rFonts w:ascii="Verdana" w:hAnsi="Verdana"/>
          <w:color w:val="000000" w:themeColor="text1"/>
          <w:sz w:val="20"/>
          <w:szCs w:val="20"/>
        </w:rPr>
        <w:t xml:space="preserve"> </w:t>
      </w:r>
      <w:r w:rsidR="0004276D">
        <w:rPr>
          <w:rFonts w:ascii="Verdana" w:hAnsi="Verdana"/>
          <w:color w:val="000000" w:themeColor="text1"/>
          <w:sz w:val="20"/>
          <w:szCs w:val="20"/>
        </w:rPr>
        <w:t xml:space="preserve">il </w:t>
      </w:r>
      <w:r w:rsidR="00E75BCF">
        <w:rPr>
          <w:rFonts w:ascii="Verdana" w:hAnsi="Verdana"/>
          <w:color w:val="000000" w:themeColor="text1"/>
          <w:sz w:val="20"/>
          <w:szCs w:val="20"/>
        </w:rPr>
        <w:t xml:space="preserve">favorevole contenzioso sinora sviluppatosi, oltre che </w:t>
      </w:r>
      <w:r w:rsidR="00403F43">
        <w:rPr>
          <w:rFonts w:ascii="Verdana" w:hAnsi="Verdana"/>
          <w:color w:val="000000" w:themeColor="text1"/>
          <w:sz w:val="20"/>
          <w:szCs w:val="20"/>
        </w:rPr>
        <w:t xml:space="preserve">richiamando </w:t>
      </w:r>
      <w:r w:rsidR="00E75BCF">
        <w:rPr>
          <w:rFonts w:ascii="Verdana" w:hAnsi="Verdana"/>
          <w:color w:val="000000" w:themeColor="text1"/>
          <w:sz w:val="20"/>
          <w:szCs w:val="20"/>
        </w:rPr>
        <w:t xml:space="preserve">gli orientamenti </w:t>
      </w:r>
      <w:r w:rsidR="00CE2318">
        <w:rPr>
          <w:rFonts w:ascii="Verdana" w:hAnsi="Verdana"/>
          <w:color w:val="000000" w:themeColor="text1"/>
          <w:sz w:val="20"/>
          <w:szCs w:val="20"/>
        </w:rPr>
        <w:t>giurisprudenziali</w:t>
      </w:r>
      <w:r w:rsidR="00E75BCF">
        <w:rPr>
          <w:rFonts w:ascii="Verdana" w:hAnsi="Verdana"/>
          <w:color w:val="000000" w:themeColor="text1"/>
          <w:sz w:val="20"/>
          <w:szCs w:val="20"/>
        </w:rPr>
        <w:t xml:space="preserve"> favorevoli in materia.</w:t>
      </w:r>
    </w:p>
    <w:p w:rsidR="00E75BCF" w:rsidRPr="00F10358" w:rsidRDefault="00E75BCF" w:rsidP="003F31B5">
      <w:pPr>
        <w:shd w:val="clear" w:color="auto" w:fill="FEFFFF"/>
        <w:spacing w:line="360" w:lineRule="auto"/>
        <w:ind w:firstLine="354"/>
        <w:jc w:val="both"/>
        <w:rPr>
          <w:rFonts w:ascii="Verdana" w:hAnsi="Verdana"/>
          <w:color w:val="000000" w:themeColor="text1"/>
          <w:sz w:val="20"/>
          <w:szCs w:val="20"/>
        </w:rPr>
      </w:pPr>
      <w:r>
        <w:rPr>
          <w:rFonts w:ascii="Verdana" w:hAnsi="Verdana"/>
          <w:color w:val="000000" w:themeColor="text1"/>
          <w:sz w:val="20"/>
          <w:szCs w:val="20"/>
        </w:rPr>
        <w:t xml:space="preserve">Il rappresentante di </w:t>
      </w:r>
      <w:r w:rsidR="003B4079">
        <w:rPr>
          <w:rFonts w:ascii="Verdana" w:hAnsi="Verdana"/>
          <w:color w:val="000000" w:themeColor="text1"/>
          <w:sz w:val="20"/>
          <w:szCs w:val="20"/>
        </w:rPr>
        <w:t>INCOFARMA</w:t>
      </w:r>
      <w:r>
        <w:rPr>
          <w:rFonts w:ascii="Verdana" w:hAnsi="Verdana"/>
          <w:color w:val="000000" w:themeColor="text1"/>
          <w:sz w:val="20"/>
          <w:szCs w:val="20"/>
        </w:rPr>
        <w:t xml:space="preserve"> ha evidenziato che la resa dei servizi gratuiti, il costo del personale</w:t>
      </w:r>
      <w:r w:rsidR="00CE2318">
        <w:rPr>
          <w:rFonts w:ascii="Verdana" w:hAnsi="Verdana"/>
          <w:color w:val="000000" w:themeColor="text1"/>
          <w:sz w:val="20"/>
          <w:szCs w:val="20"/>
        </w:rPr>
        <w:t xml:space="preserve">, il continuo </w:t>
      </w:r>
      <w:r w:rsidR="00CE2318" w:rsidRPr="004753CD">
        <w:rPr>
          <w:rFonts w:ascii="Verdana" w:hAnsi="Verdana"/>
          <w:i/>
          <w:color w:val="000000" w:themeColor="text1"/>
          <w:sz w:val="20"/>
          <w:szCs w:val="20"/>
        </w:rPr>
        <w:t>start-up</w:t>
      </w:r>
      <w:r w:rsidR="00CE2318">
        <w:rPr>
          <w:rFonts w:ascii="Verdana" w:hAnsi="Verdana"/>
          <w:color w:val="000000" w:themeColor="text1"/>
          <w:sz w:val="20"/>
          <w:szCs w:val="20"/>
        </w:rPr>
        <w:t xml:space="preserve"> delle nuove farmacie </w:t>
      </w:r>
      <w:r w:rsidR="0004276D">
        <w:rPr>
          <w:rFonts w:ascii="Verdana" w:hAnsi="Verdana"/>
          <w:color w:val="000000" w:themeColor="text1"/>
          <w:sz w:val="20"/>
          <w:szCs w:val="20"/>
        </w:rPr>
        <w:t xml:space="preserve">comprimono </w:t>
      </w:r>
      <w:r w:rsidR="00CE2318">
        <w:rPr>
          <w:rFonts w:ascii="Verdana" w:hAnsi="Verdana"/>
          <w:color w:val="000000" w:themeColor="text1"/>
          <w:sz w:val="20"/>
          <w:szCs w:val="20"/>
        </w:rPr>
        <w:t>il reddito annuale delle farmacie comunali e della società, che non può pertanto essere comparato a quello delle farmacie private.</w:t>
      </w:r>
    </w:p>
    <w:p w:rsidR="003F31B5" w:rsidRPr="00F10358" w:rsidRDefault="001A500A"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b/>
          <w:bCs/>
          <w:color w:val="000000" w:themeColor="text1"/>
          <w:sz w:val="20"/>
          <w:szCs w:val="20"/>
        </w:rPr>
        <w:t>3</w:t>
      </w:r>
      <w:r w:rsidR="003F31B5" w:rsidRPr="00F10358">
        <w:rPr>
          <w:rFonts w:ascii="Verdana" w:hAnsi="Verdana"/>
          <w:b/>
          <w:bCs/>
          <w:color w:val="000000" w:themeColor="text1"/>
          <w:sz w:val="20"/>
          <w:szCs w:val="20"/>
        </w:rPr>
        <w:t>.</w:t>
      </w:r>
      <w:r w:rsidR="003F31B5" w:rsidRPr="00F10358">
        <w:rPr>
          <w:rFonts w:ascii="Verdana" w:hAnsi="Verdana"/>
          <w:color w:val="000000" w:themeColor="text1"/>
          <w:sz w:val="20"/>
          <w:szCs w:val="20"/>
        </w:rPr>
        <w:t xml:space="preserve"> </w:t>
      </w:r>
      <w:r w:rsidR="003F31B5" w:rsidRPr="00F10358">
        <w:rPr>
          <w:rFonts w:ascii="Verdana" w:hAnsi="Verdana"/>
          <w:b/>
          <w:bCs/>
          <w:color w:val="000000" w:themeColor="text1"/>
          <w:sz w:val="20"/>
          <w:szCs w:val="20"/>
        </w:rPr>
        <w:t>Natura, scopo e partecipanti</w:t>
      </w:r>
      <w:r w:rsidR="003F31B5" w:rsidRPr="00F10358">
        <w:rPr>
          <w:rFonts w:ascii="Verdana" w:hAnsi="Verdana"/>
          <w:color w:val="000000" w:themeColor="text1"/>
          <w:sz w:val="20"/>
          <w:szCs w:val="20"/>
        </w:rPr>
        <w:t xml:space="preserve"> </w:t>
      </w:r>
      <w:r w:rsidR="003F31B5" w:rsidRPr="00F10358">
        <w:rPr>
          <w:rFonts w:ascii="Verdana" w:hAnsi="Verdana"/>
          <w:b/>
          <w:bCs/>
          <w:color w:val="000000" w:themeColor="text1"/>
          <w:sz w:val="20"/>
          <w:szCs w:val="20"/>
        </w:rPr>
        <w:t>al CISS quale organo dei comuni controllati</w:t>
      </w:r>
      <w:r w:rsidR="003F31B5" w:rsidRPr="00F10358">
        <w:rPr>
          <w:rFonts w:ascii="Verdana" w:hAnsi="Verdana"/>
          <w:color w:val="000000" w:themeColor="text1"/>
          <w:sz w:val="20"/>
          <w:szCs w:val="20"/>
        </w:rPr>
        <w:t xml:space="preserve">. Il </w:t>
      </w:r>
      <w:r w:rsidR="003F31B5" w:rsidRPr="00F10358">
        <w:rPr>
          <w:rFonts w:ascii="Verdana" w:hAnsi="Verdana"/>
          <w:i/>
          <w:iCs/>
          <w:color w:val="000000" w:themeColor="text1"/>
          <w:sz w:val="20"/>
          <w:szCs w:val="20"/>
        </w:rPr>
        <w:t>Consorzio intercomunale per i servizi sociosanitari</w:t>
      </w:r>
      <w:r w:rsidR="003F31B5" w:rsidRPr="00F10358">
        <w:rPr>
          <w:rFonts w:ascii="Verdana" w:hAnsi="Verdana"/>
          <w:color w:val="000000" w:themeColor="text1"/>
          <w:sz w:val="20"/>
          <w:szCs w:val="20"/>
        </w:rPr>
        <w:t xml:space="preserve"> è un consorzio di diritto pubblico ex art. 31 TUEL, costituito nel 2004 su iniziativa del comune di Caivano (Na) e con la partecipazione di numerosi comuni delle province di Napoli, Caserta ed Avellino (</w:t>
      </w:r>
      <w:r w:rsidR="003F31B5" w:rsidRPr="00F10358">
        <w:rPr>
          <w:rFonts w:ascii="Verdana" w:hAnsi="Verdana"/>
          <w:bCs/>
          <w:color w:val="000000" w:themeColor="text1"/>
          <w:sz w:val="20"/>
          <w:szCs w:val="20"/>
        </w:rPr>
        <w:t>cfr. allegato n° 1 “atto costitutivo e statuto C.I.SS.” recato dal Comune di Gricignano d’Aversa, con la prefata relazione</w:t>
      </w:r>
      <w:r w:rsidR="003F31B5" w:rsidRPr="00F10358">
        <w:rPr>
          <w:rFonts w:ascii="Verdana" w:hAnsi="Verdana"/>
          <w:color w:val="000000" w:themeColor="text1"/>
          <w:sz w:val="20"/>
          <w:szCs w:val="20"/>
        </w:rPr>
        <w:t xml:space="preserve"> illustrativa sul funzionamento </w:t>
      </w:r>
      <w:r w:rsidR="003F31B5" w:rsidRPr="00F10358">
        <w:rPr>
          <w:rFonts w:ascii="Verdana" w:hAnsi="Verdana"/>
          <w:bCs/>
          <w:color w:val="000000" w:themeColor="text1"/>
          <w:sz w:val="20"/>
          <w:szCs w:val="20"/>
        </w:rPr>
        <w:t>del CISS</w:t>
      </w:r>
      <w:r w:rsidR="003F31B5" w:rsidRPr="00F10358">
        <w:rPr>
          <w:rFonts w:ascii="Verdana" w:hAnsi="Verdana"/>
          <w:color w:val="000000" w:themeColor="text1"/>
          <w:sz w:val="20"/>
          <w:szCs w:val="20"/>
        </w:rPr>
        <w:t xml:space="preserve">). </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Inizialmente conglomerante 9 comuni, il CISS ha visto</w:t>
      </w:r>
      <w:r w:rsidR="00403F43">
        <w:rPr>
          <w:rFonts w:ascii="Verdana" w:hAnsi="Verdana"/>
          <w:color w:val="000000" w:themeColor="text1"/>
          <w:sz w:val="20"/>
          <w:szCs w:val="20"/>
        </w:rPr>
        <w:t>, nel tempo,</w:t>
      </w:r>
      <w:r w:rsidRPr="00F10358">
        <w:rPr>
          <w:rFonts w:ascii="Verdana" w:hAnsi="Verdana"/>
          <w:color w:val="000000" w:themeColor="text1"/>
          <w:sz w:val="20"/>
          <w:szCs w:val="20"/>
        </w:rPr>
        <w:t xml:space="preserve"> altre 15 adesioni, raggiungendo il totale di 24 consorziati.</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L’art. 1 dello Statuto del CISS prevede infatti che «</w:t>
      </w:r>
      <w:r w:rsidRPr="00F10358">
        <w:rPr>
          <w:rFonts w:ascii="Verdana" w:hAnsi="Verdana"/>
          <w:bCs/>
          <w:i/>
          <w:color w:val="000000" w:themeColor="text1"/>
          <w:sz w:val="20"/>
          <w:szCs w:val="20"/>
          <w:u w:val="single"/>
        </w:rPr>
        <w:t>Al Consorzio possono aderire, su loro espressa richiesta, altri Comuni senza limiti numerici e senza limitazioni territoriali; l'adesione deve essere approvata dall’Assemblea Consortile</w:t>
      </w:r>
      <w:r w:rsidRPr="00F10358">
        <w:rPr>
          <w:rFonts w:ascii="Verdana" w:hAnsi="Verdana"/>
          <w:bCs/>
          <w:color w:val="000000" w:themeColor="text1"/>
          <w:sz w:val="20"/>
          <w:szCs w:val="20"/>
          <w:u w:val="single"/>
        </w:rPr>
        <w:t>».</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 xml:space="preserve">Lo scopo del CISS è permettere una gestione integrata del servizio di farmacia comunale, raggiungendo economie di scala e, conseguentemente, un significativo risparmio di spesa e d’investimento per l’apertura di sedi farmaceutiche </w:t>
      </w:r>
      <w:proofErr w:type="spellStart"/>
      <w:r w:rsidRPr="00F10358">
        <w:rPr>
          <w:rFonts w:ascii="Verdana" w:hAnsi="Verdana"/>
          <w:color w:val="000000" w:themeColor="text1"/>
          <w:sz w:val="20"/>
          <w:szCs w:val="20"/>
        </w:rPr>
        <w:t>prelazionate</w:t>
      </w:r>
      <w:proofErr w:type="spellEnd"/>
      <w:r w:rsidRPr="00F10358">
        <w:rPr>
          <w:rFonts w:ascii="Verdana" w:hAnsi="Verdana"/>
          <w:color w:val="000000" w:themeColor="text1"/>
          <w:sz w:val="20"/>
          <w:szCs w:val="20"/>
        </w:rPr>
        <w:t xml:space="preserve"> dai comuni </w:t>
      </w:r>
      <w:r w:rsidRPr="00F10358">
        <w:rPr>
          <w:rFonts w:ascii="Verdana" w:hAnsi="Verdana"/>
          <w:bCs/>
          <w:color w:val="000000" w:themeColor="text1"/>
          <w:sz w:val="20"/>
          <w:szCs w:val="20"/>
        </w:rPr>
        <w:t>(cfr. allegato n° 2 “</w:t>
      </w:r>
      <w:r w:rsidR="00403F43" w:rsidRPr="00F10358">
        <w:rPr>
          <w:rFonts w:ascii="Verdana" w:hAnsi="Verdana"/>
          <w:bCs/>
          <w:color w:val="000000" w:themeColor="text1"/>
          <w:sz w:val="20"/>
          <w:szCs w:val="20"/>
        </w:rPr>
        <w:t>deliber</w:t>
      </w:r>
      <w:r w:rsidR="00403F43">
        <w:rPr>
          <w:rFonts w:ascii="Verdana" w:hAnsi="Verdana"/>
          <w:bCs/>
          <w:color w:val="000000" w:themeColor="text1"/>
          <w:sz w:val="20"/>
          <w:szCs w:val="20"/>
        </w:rPr>
        <w:t>a</w:t>
      </w:r>
      <w:r w:rsidR="00403F43" w:rsidRPr="00F10358">
        <w:rPr>
          <w:rFonts w:ascii="Verdana" w:hAnsi="Verdana"/>
          <w:bCs/>
          <w:color w:val="000000" w:themeColor="text1"/>
          <w:sz w:val="20"/>
          <w:szCs w:val="20"/>
        </w:rPr>
        <w:t xml:space="preserve"> </w:t>
      </w:r>
      <w:r w:rsidRPr="00F10358">
        <w:rPr>
          <w:rFonts w:ascii="Verdana" w:hAnsi="Verdana"/>
          <w:bCs/>
          <w:color w:val="000000" w:themeColor="text1"/>
          <w:sz w:val="20"/>
          <w:szCs w:val="20"/>
        </w:rPr>
        <w:t>del consiglio comunale di adesione al C.I.S.S.” recato dal Comune di Gricignano d’Aversa, con la relazione del CISS).</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bCs/>
          <w:color w:val="000000" w:themeColor="text1"/>
          <w:sz w:val="20"/>
          <w:szCs w:val="20"/>
        </w:rPr>
        <w:t>Scopo del CISS</w:t>
      </w:r>
      <w:r w:rsidRPr="00F10358">
        <w:rPr>
          <w:rFonts w:ascii="Verdana" w:hAnsi="Verdana"/>
          <w:color w:val="000000" w:themeColor="text1"/>
          <w:sz w:val="20"/>
          <w:szCs w:val="20"/>
        </w:rPr>
        <w:t xml:space="preserve">, infatti, ai sensi dell’art. 3 dello Statuto, è quello di organizzare ed espletare </w:t>
      </w:r>
      <w:proofErr w:type="gramStart"/>
      <w:r w:rsidRPr="00F10358">
        <w:rPr>
          <w:rFonts w:ascii="Verdana" w:hAnsi="Verdana"/>
          <w:color w:val="000000" w:themeColor="text1"/>
          <w:sz w:val="20"/>
          <w:szCs w:val="20"/>
        </w:rPr>
        <w:t>« [</w:t>
      </w:r>
      <w:proofErr w:type="gramEnd"/>
      <w:r w:rsidRPr="00F10358">
        <w:rPr>
          <w:rFonts w:ascii="Verdana" w:hAnsi="Verdana"/>
          <w:color w:val="000000" w:themeColor="text1"/>
          <w:sz w:val="20"/>
          <w:szCs w:val="20"/>
        </w:rPr>
        <w:t xml:space="preserve">…] </w:t>
      </w:r>
      <w:r w:rsidRPr="00F10358">
        <w:rPr>
          <w:rFonts w:ascii="Verdana" w:hAnsi="Verdana"/>
          <w:i/>
          <w:iCs/>
          <w:color w:val="000000" w:themeColor="text1"/>
          <w:sz w:val="20"/>
          <w:szCs w:val="20"/>
        </w:rPr>
        <w:t>qualsivoglia servizio sociosanitario che abbia caratteri di pubblica utilità e che rientra negli scopi, nelle finalità e nelle competenze propri degli enti locali</w:t>
      </w:r>
      <w:r w:rsidRPr="00F10358">
        <w:rPr>
          <w:rFonts w:ascii="Verdana" w:hAnsi="Verdana"/>
          <w:color w:val="000000" w:themeColor="text1"/>
          <w:sz w:val="20"/>
          <w:szCs w:val="20"/>
        </w:rPr>
        <w:t xml:space="preserve"> […]» tra i quali, in particolare, quello di gestione delle farmacie di cui i comuni aderenti abbiano acquisito la titolarità attraverso l’esercizio del diritto di prelazione ai sensi dell’art. 9 della </w:t>
      </w:r>
      <w:r w:rsidR="007D3686">
        <w:rPr>
          <w:rFonts w:ascii="Verdana" w:hAnsi="Verdana"/>
          <w:color w:val="000000" w:themeColor="text1"/>
          <w:sz w:val="20"/>
          <w:szCs w:val="20"/>
        </w:rPr>
        <w:t>L</w:t>
      </w:r>
      <w:r w:rsidRPr="00F10358">
        <w:rPr>
          <w:rFonts w:ascii="Verdana" w:hAnsi="Verdana"/>
          <w:color w:val="000000" w:themeColor="text1"/>
          <w:sz w:val="20"/>
          <w:szCs w:val="20"/>
        </w:rPr>
        <w:t xml:space="preserve">egge </w:t>
      </w:r>
      <w:r w:rsidR="007D3686">
        <w:rPr>
          <w:rFonts w:ascii="Verdana" w:hAnsi="Verdana"/>
          <w:color w:val="000000" w:themeColor="text1"/>
          <w:sz w:val="20"/>
          <w:szCs w:val="20"/>
        </w:rPr>
        <w:t xml:space="preserve">n. </w:t>
      </w:r>
      <w:r w:rsidRPr="00F10358">
        <w:rPr>
          <w:rFonts w:ascii="Verdana" w:hAnsi="Verdana"/>
          <w:color w:val="000000" w:themeColor="text1"/>
          <w:sz w:val="20"/>
          <w:szCs w:val="20"/>
        </w:rPr>
        <w:t>475/1968.</w:t>
      </w:r>
    </w:p>
    <w:p w:rsidR="003F31B5" w:rsidRPr="00F10358" w:rsidRDefault="003F31B5" w:rsidP="003F31B5">
      <w:pPr>
        <w:shd w:val="clear" w:color="auto" w:fill="FEFFFF"/>
        <w:spacing w:line="360" w:lineRule="auto"/>
        <w:ind w:firstLine="354"/>
        <w:jc w:val="both"/>
        <w:rPr>
          <w:rFonts w:ascii="Verdana" w:hAnsi="Verdana"/>
          <w:i/>
          <w:color w:val="000000" w:themeColor="text1"/>
          <w:sz w:val="20"/>
          <w:szCs w:val="20"/>
        </w:rPr>
      </w:pPr>
      <w:r w:rsidRPr="00F10358">
        <w:rPr>
          <w:rFonts w:ascii="Verdana" w:hAnsi="Verdana"/>
          <w:color w:val="000000" w:themeColor="text1"/>
          <w:sz w:val="20"/>
          <w:szCs w:val="20"/>
        </w:rPr>
        <w:t xml:space="preserve">Lo stesso art. 3 prevedeva </w:t>
      </w:r>
      <w:r w:rsidRPr="00F10358">
        <w:rPr>
          <w:rFonts w:ascii="Verdana" w:hAnsi="Verdana"/>
          <w:i/>
          <w:color w:val="000000" w:themeColor="text1"/>
          <w:sz w:val="20"/>
          <w:szCs w:val="20"/>
        </w:rPr>
        <w:t>ab origine</w:t>
      </w:r>
      <w:r w:rsidRPr="00F10358">
        <w:rPr>
          <w:rFonts w:ascii="Verdana" w:hAnsi="Verdana"/>
          <w:color w:val="000000" w:themeColor="text1"/>
          <w:sz w:val="20"/>
          <w:szCs w:val="20"/>
        </w:rPr>
        <w:t xml:space="preserve"> che «</w:t>
      </w:r>
      <w:r w:rsidRPr="00F10358">
        <w:rPr>
          <w:rFonts w:ascii="Verdana" w:hAnsi="Verdana"/>
          <w:i/>
          <w:color w:val="000000" w:themeColor="text1"/>
          <w:sz w:val="20"/>
          <w:szCs w:val="20"/>
        </w:rPr>
        <w:t>Il Consorzio, previa deliberazione del!' Assemblea dei Consorziati a maggioranza assoluta, in luogo di una gestione imprenditoriale in via diretta, autonoma ed esclusiva, potrà costituire e/o partecipare ad altri consorzi e/o società di capitale pubblico o miste (a prevalente capitale pubblico o privato) cui affidare l'espletamento di tutte o parte le attività rientranti nello scopo del Consorzio stesso, ovvero attività afferenti, strumentali o di supporto a quelle previste nel suo scopo.</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i/>
          <w:color w:val="000000" w:themeColor="text1"/>
          <w:sz w:val="20"/>
          <w:szCs w:val="20"/>
        </w:rPr>
        <w:t>L'adesione di un Comune al Consorzio, se richiesta ed accettata dopo che il Consorzio abbia già affidato a detti altri consorzi e/o a dette società pubbliche, miste e/o private l'espletamento di tutte o parte delle attività rientranti nel suo scopo sociale comporta per il Comune nuovo consorziato l'automatico trasferimento all'indicato consorzio e/o alla medesima società degli stessi servizi già affidati a loro dal consorzio, per quanto di sua competenza</w:t>
      </w:r>
      <w:r w:rsidRPr="00F10358">
        <w:rPr>
          <w:rFonts w:ascii="Verdana" w:hAnsi="Verdana"/>
          <w:color w:val="000000" w:themeColor="text1"/>
          <w:sz w:val="20"/>
          <w:szCs w:val="20"/>
        </w:rPr>
        <w:t>».</w:t>
      </w:r>
    </w:p>
    <w:p w:rsidR="003F31B5" w:rsidRPr="004753CD" w:rsidRDefault="00655873" w:rsidP="00C973D0">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lastRenderedPageBreak/>
        <w:t>Segnatamente</w:t>
      </w:r>
      <w:r w:rsidR="003F31B5" w:rsidRPr="00F10358">
        <w:rPr>
          <w:rFonts w:ascii="Verdana" w:hAnsi="Verdana"/>
          <w:color w:val="000000" w:themeColor="text1"/>
          <w:sz w:val="20"/>
          <w:szCs w:val="20"/>
        </w:rPr>
        <w:t xml:space="preserve">, i Comuni che parteciparono alla sua costituzione furono in origine 9, oltre al comune </w:t>
      </w:r>
      <w:r w:rsidR="00813CAA" w:rsidRPr="00F10358">
        <w:rPr>
          <w:rFonts w:ascii="Verdana" w:hAnsi="Verdana"/>
          <w:color w:val="000000" w:themeColor="text1"/>
          <w:sz w:val="20"/>
          <w:szCs w:val="20"/>
        </w:rPr>
        <w:t>promotor</w:t>
      </w:r>
      <w:r w:rsidR="00813CAA">
        <w:rPr>
          <w:rFonts w:ascii="Verdana" w:hAnsi="Verdana"/>
          <w:color w:val="000000" w:themeColor="text1"/>
          <w:sz w:val="20"/>
          <w:szCs w:val="20"/>
        </w:rPr>
        <w:t>e</w:t>
      </w:r>
      <w:r w:rsidR="00C973D0">
        <w:rPr>
          <w:rFonts w:ascii="Verdana" w:hAnsi="Verdana"/>
          <w:color w:val="000000" w:themeColor="text1"/>
          <w:sz w:val="20"/>
          <w:szCs w:val="20"/>
        </w:rPr>
        <w:t xml:space="preserve"> – </w:t>
      </w:r>
      <w:r w:rsidR="003F31B5" w:rsidRPr="00F10358">
        <w:rPr>
          <w:rFonts w:ascii="Verdana" w:hAnsi="Verdana"/>
          <w:color w:val="000000" w:themeColor="text1"/>
          <w:sz w:val="20"/>
          <w:szCs w:val="20"/>
        </w:rPr>
        <w:t>Caivano (Na</w:t>
      </w:r>
      <w:r w:rsidR="00813CAA" w:rsidRPr="00F10358">
        <w:rPr>
          <w:rFonts w:ascii="Verdana" w:hAnsi="Verdana"/>
          <w:color w:val="000000" w:themeColor="text1"/>
          <w:sz w:val="20"/>
          <w:szCs w:val="20"/>
        </w:rPr>
        <w:t>)</w:t>
      </w:r>
      <w:r w:rsidR="00C973D0">
        <w:rPr>
          <w:rFonts w:ascii="Verdana" w:hAnsi="Verdana"/>
          <w:color w:val="000000" w:themeColor="text1"/>
          <w:sz w:val="20"/>
          <w:szCs w:val="20"/>
        </w:rPr>
        <w:t xml:space="preserve"> </w:t>
      </w:r>
      <w:proofErr w:type="gramStart"/>
      <w:r w:rsidR="00C973D0">
        <w:rPr>
          <w:rFonts w:ascii="Verdana" w:hAnsi="Verdana"/>
          <w:color w:val="000000" w:themeColor="text1"/>
          <w:sz w:val="20"/>
          <w:szCs w:val="20"/>
        </w:rPr>
        <w:t>–</w:t>
      </w:r>
      <w:r w:rsidR="00813CAA">
        <w:rPr>
          <w:rFonts w:ascii="Verdana" w:hAnsi="Verdana"/>
          <w:color w:val="000000" w:themeColor="text1"/>
          <w:sz w:val="20"/>
          <w:szCs w:val="20"/>
        </w:rPr>
        <w:t xml:space="preserve"> ,</w:t>
      </w:r>
      <w:proofErr w:type="gramEnd"/>
      <w:r w:rsidR="00813CAA" w:rsidRPr="00F10358">
        <w:rPr>
          <w:rFonts w:ascii="Verdana" w:hAnsi="Verdana"/>
          <w:color w:val="000000" w:themeColor="text1"/>
          <w:sz w:val="20"/>
          <w:szCs w:val="20"/>
        </w:rPr>
        <w:t xml:space="preserve"> </w:t>
      </w:r>
      <w:proofErr w:type="spellStart"/>
      <w:r w:rsidR="003F31B5" w:rsidRPr="00F10358">
        <w:rPr>
          <w:rFonts w:ascii="Verdana" w:hAnsi="Verdana"/>
          <w:color w:val="000000" w:themeColor="text1"/>
          <w:sz w:val="20"/>
          <w:szCs w:val="20"/>
        </w:rPr>
        <w:t>Castelvolturno</w:t>
      </w:r>
      <w:proofErr w:type="spellEnd"/>
      <w:r w:rsidR="003F31B5" w:rsidRPr="00F10358">
        <w:rPr>
          <w:rFonts w:ascii="Verdana" w:hAnsi="Verdana"/>
          <w:color w:val="000000" w:themeColor="text1"/>
          <w:sz w:val="20"/>
          <w:szCs w:val="20"/>
        </w:rPr>
        <w:t xml:space="preserve"> (Ce), Cercola (Na), Gricignano di Aversa (Ce), Palma Campania (Na), Poggiomarino (Na), Roccabascerana (</w:t>
      </w:r>
      <w:proofErr w:type="spellStart"/>
      <w:r w:rsidR="003F31B5" w:rsidRPr="00F10358">
        <w:rPr>
          <w:rFonts w:ascii="Verdana" w:hAnsi="Verdana"/>
          <w:color w:val="000000" w:themeColor="text1"/>
          <w:sz w:val="20"/>
          <w:szCs w:val="20"/>
        </w:rPr>
        <w:t>Av</w:t>
      </w:r>
      <w:proofErr w:type="spellEnd"/>
      <w:r w:rsidR="003F31B5" w:rsidRPr="00F10358">
        <w:rPr>
          <w:rFonts w:ascii="Verdana" w:hAnsi="Verdana"/>
          <w:color w:val="000000" w:themeColor="text1"/>
          <w:sz w:val="20"/>
          <w:szCs w:val="20"/>
        </w:rPr>
        <w:t>), Sant’Arpino (Ce), Terzigno (Na).</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Successivamente, in maniera graduale, hanno aderito al richiamato consorzio altri enti locali per un totale di 24 aderenti, tra cui Somma Vesuviana (Na), Sant’Antonio Abate (Na), Villaricca (Na), Acerra (Na), San Nicola La Strada (Ce), Ottaviano (Na), Cesa (Ce), Calvizzano (Na), Saviano (Na), Recale (Ce), Cellole (Ce), Lusciano (Ce), Casandrino (Na), Crispano (Na) ed Afragola (Na) (cfr. allegato n° 2 “delibere del consiglio comunale di adesione al C.I.SS.”).</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p>
    <w:p w:rsidR="003F31B5" w:rsidRPr="00F10358" w:rsidRDefault="003F31B5" w:rsidP="003F31B5">
      <w:pPr>
        <w:shd w:val="clear" w:color="auto" w:fill="FEFFFF"/>
        <w:spacing w:line="360" w:lineRule="auto"/>
        <w:ind w:firstLine="354"/>
        <w:jc w:val="both"/>
        <w:outlineLvl w:val="0"/>
        <w:rPr>
          <w:rFonts w:ascii="Verdana" w:eastAsia="Verdana" w:hAnsi="Verdana" w:cs="Verdana"/>
          <w:color w:val="000000" w:themeColor="text1"/>
          <w:sz w:val="20"/>
          <w:szCs w:val="20"/>
        </w:rPr>
      </w:pPr>
      <w:r w:rsidRPr="00F10358">
        <w:rPr>
          <w:rFonts w:ascii="Verdana" w:hAnsi="Verdana"/>
          <w:color w:val="000000" w:themeColor="text1"/>
          <w:sz w:val="20"/>
          <w:szCs w:val="20"/>
        </w:rPr>
        <w:t>Tabella A</w:t>
      </w:r>
    </w:p>
    <w:p w:rsidR="003F31B5" w:rsidRPr="00F63A96" w:rsidRDefault="003F31B5" w:rsidP="003F31B5">
      <w:pPr>
        <w:shd w:val="clear" w:color="auto" w:fill="FEFFFF"/>
        <w:jc w:val="center"/>
        <w:outlineLvl w:val="0"/>
        <w:rPr>
          <w:b/>
          <w:bCs/>
          <w:color w:val="000000" w:themeColor="text1"/>
          <w:u w:val="single"/>
        </w:rPr>
      </w:pPr>
      <w:r w:rsidRPr="00F63A96">
        <w:rPr>
          <w:b/>
          <w:bCs/>
          <w:color w:val="000000" w:themeColor="text1"/>
          <w:u w:val="single"/>
        </w:rPr>
        <w:t xml:space="preserve">ELENCO COMUNI CONSORZIATI C.I.SS. AL 31/12/2014. </w:t>
      </w:r>
    </w:p>
    <w:p w:rsidR="003F31B5" w:rsidRPr="00F63A96" w:rsidRDefault="003F31B5" w:rsidP="003F31B5">
      <w:pPr>
        <w:widowControl w:val="0"/>
        <w:shd w:val="clear" w:color="auto" w:fill="FEFFFF"/>
        <w:jc w:val="center"/>
        <w:rPr>
          <w:b/>
          <w:bCs/>
          <w:color w:val="000000" w:themeColor="text1"/>
          <w:u w:val="single"/>
        </w:rPr>
      </w:pPr>
      <w:r w:rsidRPr="00F63A96">
        <w:rPr>
          <w:b/>
          <w:bCs/>
          <w:color w:val="000000" w:themeColor="text1"/>
          <w:u w:val="single"/>
        </w:rPr>
        <w:t>Fonte Comune di Gricignano d</w:t>
      </w:r>
      <w:r w:rsidRPr="00F63A96">
        <w:rPr>
          <w:rFonts w:hAnsi="Times New Roman"/>
          <w:b/>
          <w:bCs/>
          <w:color w:val="000000" w:themeColor="text1"/>
          <w:u w:val="single"/>
        </w:rPr>
        <w:t>’</w:t>
      </w:r>
      <w:r w:rsidRPr="00F63A96">
        <w:rPr>
          <w:b/>
          <w:bCs/>
          <w:color w:val="000000" w:themeColor="text1"/>
          <w:u w:val="single"/>
        </w:rPr>
        <w:t>Aversa (allegato n. 2 alla relazione del CISS)</w:t>
      </w:r>
    </w:p>
    <w:tbl>
      <w:tblPr>
        <w:tblStyle w:val="TableNormal"/>
        <w:tblW w:w="90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6"/>
        <w:gridCol w:w="4413"/>
        <w:gridCol w:w="4197"/>
      </w:tblGrid>
      <w:tr w:rsidR="003F31B5" w:rsidRPr="00F63A96" w:rsidTr="00531E57">
        <w:trPr>
          <w:trHeight w:val="234"/>
          <w:jc w:val="center"/>
        </w:trPr>
        <w:tc>
          <w:tcPr>
            <w:tcW w:w="4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F31B5" w:rsidRPr="00F63A96" w:rsidRDefault="003F31B5" w:rsidP="00531E57">
            <w:pPr>
              <w:ind w:right="-380"/>
              <w:rPr>
                <w:color w:val="000000" w:themeColor="text1"/>
              </w:rPr>
            </w:pPr>
            <w:r w:rsidRPr="00F63A96">
              <w:rPr>
                <w:b/>
                <w:bCs/>
                <w:color w:val="000000" w:themeColor="text1"/>
                <w:sz w:val="22"/>
                <w:szCs w:val="22"/>
              </w:rPr>
              <w:t>N.</w:t>
            </w:r>
          </w:p>
        </w:tc>
        <w:tc>
          <w:tcPr>
            <w:tcW w:w="44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F31B5" w:rsidRPr="00F63A96" w:rsidRDefault="003F31B5" w:rsidP="00531E57">
            <w:pPr>
              <w:rPr>
                <w:color w:val="000000" w:themeColor="text1"/>
              </w:rPr>
            </w:pPr>
            <w:r w:rsidRPr="00F63A96">
              <w:rPr>
                <w:b/>
                <w:bCs/>
                <w:color w:val="000000" w:themeColor="text1"/>
                <w:sz w:val="22"/>
                <w:szCs w:val="22"/>
              </w:rPr>
              <w:t>COMUNI CONSORZIATI</w:t>
            </w:r>
          </w:p>
        </w:tc>
        <w:tc>
          <w:tcPr>
            <w:tcW w:w="419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F31B5" w:rsidRPr="00F63A96" w:rsidRDefault="003F31B5" w:rsidP="00531E57">
            <w:pPr>
              <w:rPr>
                <w:color w:val="000000" w:themeColor="text1"/>
              </w:rPr>
            </w:pPr>
            <w:r w:rsidRPr="00F63A96">
              <w:rPr>
                <w:b/>
                <w:bCs/>
                <w:color w:val="000000" w:themeColor="text1"/>
                <w:sz w:val="22"/>
                <w:szCs w:val="22"/>
              </w:rPr>
              <w:t>ATTO DI ADESIONE</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CAIVANO (NA)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69  del</w:t>
            </w:r>
            <w:proofErr w:type="gramEnd"/>
            <w:r w:rsidRPr="005F425B">
              <w:rPr>
                <w:i/>
                <w:color w:val="000000" w:themeColor="text1"/>
                <w:sz w:val="21"/>
                <w:szCs w:val="22"/>
              </w:rPr>
              <w:t xml:space="preserve"> 24.11.2003 </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2</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CASTELVOLTURNO (CE)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50  del</w:t>
            </w:r>
            <w:proofErr w:type="gramEnd"/>
            <w:r w:rsidRPr="005F425B">
              <w:rPr>
                <w:i/>
                <w:color w:val="000000" w:themeColor="text1"/>
                <w:sz w:val="21"/>
                <w:szCs w:val="22"/>
              </w:rPr>
              <w:t xml:space="preserve"> 15.09.2003</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3</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CERCOLA (NA)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58  del</w:t>
            </w:r>
            <w:proofErr w:type="gramEnd"/>
            <w:r w:rsidRPr="005F425B">
              <w:rPr>
                <w:i/>
                <w:color w:val="000000" w:themeColor="text1"/>
                <w:sz w:val="21"/>
                <w:szCs w:val="22"/>
              </w:rPr>
              <w:t xml:space="preserve"> 01.12.2003</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4</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GRICIGNANO D</w:t>
            </w:r>
            <w:r w:rsidRPr="00F63A96">
              <w:rPr>
                <w:rFonts w:hAnsi="Times New Roman"/>
                <w:color w:val="000000" w:themeColor="text1"/>
                <w:sz w:val="22"/>
                <w:szCs w:val="22"/>
              </w:rPr>
              <w:t>’</w:t>
            </w:r>
            <w:r w:rsidRPr="00F63A96">
              <w:rPr>
                <w:color w:val="000000" w:themeColor="text1"/>
                <w:sz w:val="22"/>
                <w:szCs w:val="22"/>
              </w:rPr>
              <w:t>AVERSA (CE)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Delibera di Consiglio Comunale n. 26    del 07.10.2003</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5</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PALMA CAMPANIA (NA)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Delibera di Consiglio Comunale n.  38 del 30.10.2003</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6</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POGGIOMARINO (NA)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68  del</w:t>
            </w:r>
            <w:proofErr w:type="gramEnd"/>
            <w:r w:rsidRPr="005F425B">
              <w:rPr>
                <w:i/>
                <w:color w:val="000000" w:themeColor="text1"/>
                <w:sz w:val="21"/>
                <w:szCs w:val="22"/>
              </w:rPr>
              <w:t xml:space="preserve"> 27.10.2003</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7</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ROCCABASCERANA (AV)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Delibere di Consiglio Comunale n.  12   del 08.04.2003 e n. 19 del 03.07.2003</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8</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SANT</w:t>
            </w:r>
            <w:r w:rsidRPr="00F63A96">
              <w:rPr>
                <w:rFonts w:hAnsi="Times New Roman"/>
                <w:color w:val="000000" w:themeColor="text1"/>
                <w:sz w:val="22"/>
                <w:szCs w:val="22"/>
              </w:rPr>
              <w:t>’</w:t>
            </w:r>
            <w:r w:rsidRPr="00F63A96">
              <w:rPr>
                <w:color w:val="000000" w:themeColor="text1"/>
                <w:sz w:val="22"/>
                <w:szCs w:val="22"/>
              </w:rPr>
              <w:t>ARPINO (CE)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Delibera di Consiglio Comunale n. 58 del 28.11.2003</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9</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TERZIGNO (NA) fondatore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32  del</w:t>
            </w:r>
            <w:proofErr w:type="gramEnd"/>
            <w:r w:rsidRPr="005F425B">
              <w:rPr>
                <w:i/>
                <w:color w:val="000000" w:themeColor="text1"/>
                <w:sz w:val="21"/>
                <w:szCs w:val="22"/>
              </w:rPr>
              <w:t xml:space="preserve"> 30.10.2003</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10</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SOMMA VESUVIANA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Delibera di Consiglio Comunale n.  54   del 27.09.2005</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11</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SANT</w:t>
            </w:r>
            <w:r w:rsidRPr="00F63A96">
              <w:rPr>
                <w:rFonts w:hAnsi="Times New Roman"/>
                <w:color w:val="000000" w:themeColor="text1"/>
                <w:sz w:val="22"/>
                <w:szCs w:val="22"/>
              </w:rPr>
              <w:t>’</w:t>
            </w:r>
            <w:r w:rsidRPr="00F63A96">
              <w:rPr>
                <w:color w:val="000000" w:themeColor="text1"/>
                <w:sz w:val="22"/>
                <w:szCs w:val="22"/>
              </w:rPr>
              <w:t>ANTONIO ABATE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53  del</w:t>
            </w:r>
            <w:proofErr w:type="gramEnd"/>
            <w:r w:rsidRPr="005F425B">
              <w:rPr>
                <w:i/>
                <w:color w:val="000000" w:themeColor="text1"/>
                <w:sz w:val="21"/>
                <w:szCs w:val="22"/>
              </w:rPr>
              <w:t xml:space="preserve"> 28.06.2006</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12</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VILLARICCA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17  del</w:t>
            </w:r>
            <w:proofErr w:type="gramEnd"/>
            <w:r w:rsidRPr="005F425B">
              <w:rPr>
                <w:i/>
                <w:color w:val="000000" w:themeColor="text1"/>
                <w:sz w:val="21"/>
                <w:szCs w:val="22"/>
              </w:rPr>
              <w:t xml:space="preserve"> 20.03.2006</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13</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ACERRA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9  del</w:t>
            </w:r>
            <w:proofErr w:type="gramEnd"/>
            <w:r w:rsidRPr="005F425B">
              <w:rPr>
                <w:i/>
                <w:color w:val="000000" w:themeColor="text1"/>
                <w:sz w:val="21"/>
                <w:szCs w:val="22"/>
              </w:rPr>
              <w:t xml:space="preserve"> 28.02.2007</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14</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SAN NICOLA LA STRADA (CE)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49  del</w:t>
            </w:r>
            <w:proofErr w:type="gramEnd"/>
            <w:r w:rsidRPr="005F425B">
              <w:rPr>
                <w:i/>
                <w:color w:val="000000" w:themeColor="text1"/>
                <w:sz w:val="21"/>
                <w:szCs w:val="22"/>
              </w:rPr>
              <w:t xml:space="preserve"> 28.11.06</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lastRenderedPageBreak/>
              <w:t>15</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OTTAVIANO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Delibera di Consiglio Comunale n. 22   del 20.05.2008</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16</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CESA (CE)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Delibera di Consiglio Comunale n. 30 del 28.06.2010</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17</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CALVIZZANO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Delibera di Consiglio Comunale n.   35 DEL 16-11-2010</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18</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SAVIANO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24  del</w:t>
            </w:r>
            <w:proofErr w:type="gramEnd"/>
            <w:r w:rsidRPr="005F425B">
              <w:rPr>
                <w:i/>
                <w:color w:val="000000" w:themeColor="text1"/>
                <w:sz w:val="21"/>
                <w:szCs w:val="22"/>
              </w:rPr>
              <w:t xml:space="preserve"> 10.06.2014</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19</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RECALE (CE)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17  del</w:t>
            </w:r>
            <w:proofErr w:type="gramEnd"/>
            <w:r w:rsidRPr="005F425B">
              <w:rPr>
                <w:i/>
                <w:color w:val="000000" w:themeColor="text1"/>
                <w:sz w:val="21"/>
                <w:szCs w:val="22"/>
              </w:rPr>
              <w:t xml:space="preserve"> 03.06.2014</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20</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CELLOLE (CE)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5  del</w:t>
            </w:r>
            <w:proofErr w:type="gramEnd"/>
            <w:r w:rsidRPr="005F425B">
              <w:rPr>
                <w:i/>
                <w:color w:val="000000" w:themeColor="text1"/>
                <w:sz w:val="21"/>
                <w:szCs w:val="22"/>
              </w:rPr>
              <w:t xml:space="preserve"> 09.05.2014</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21</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LUSCIANO (CE)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40  del</w:t>
            </w:r>
            <w:proofErr w:type="gramEnd"/>
            <w:r w:rsidRPr="005F425B">
              <w:rPr>
                <w:i/>
                <w:color w:val="000000" w:themeColor="text1"/>
                <w:sz w:val="21"/>
                <w:szCs w:val="22"/>
              </w:rPr>
              <w:t xml:space="preserve"> 07.07.2014</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22</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CASANDRINO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32  del</w:t>
            </w:r>
            <w:proofErr w:type="gramEnd"/>
            <w:r w:rsidRPr="005F425B">
              <w:rPr>
                <w:i/>
                <w:color w:val="000000" w:themeColor="text1"/>
                <w:sz w:val="21"/>
                <w:szCs w:val="22"/>
              </w:rPr>
              <w:t xml:space="preserve"> 08/07/2014</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23</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AFRAGOLA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64  del</w:t>
            </w:r>
            <w:proofErr w:type="gramEnd"/>
            <w:r w:rsidRPr="005F425B">
              <w:rPr>
                <w:i/>
                <w:color w:val="000000" w:themeColor="text1"/>
                <w:sz w:val="21"/>
                <w:szCs w:val="22"/>
              </w:rPr>
              <w:t>18/12/2014</w:t>
            </w:r>
          </w:p>
        </w:tc>
      </w:tr>
      <w:tr w:rsidR="003F31B5" w:rsidRPr="00F63A96" w:rsidTr="00531E57">
        <w:trPr>
          <w:trHeight w:val="4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24</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r w:rsidRPr="00F63A96">
              <w:rPr>
                <w:color w:val="000000" w:themeColor="text1"/>
                <w:sz w:val="22"/>
                <w:szCs w:val="22"/>
              </w:rPr>
              <w:t>CRISPANO (NA)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5F425B" w:rsidRDefault="003F31B5" w:rsidP="00531E57">
            <w:pPr>
              <w:rPr>
                <w:i/>
                <w:color w:val="000000" w:themeColor="text1"/>
                <w:sz w:val="21"/>
              </w:rPr>
            </w:pPr>
            <w:r w:rsidRPr="005F425B">
              <w:rPr>
                <w:i/>
                <w:color w:val="000000" w:themeColor="text1"/>
                <w:sz w:val="21"/>
                <w:szCs w:val="22"/>
              </w:rPr>
              <w:t xml:space="preserve">Delibera di Consiglio Comunale n.  </w:t>
            </w:r>
            <w:proofErr w:type="gramStart"/>
            <w:r w:rsidRPr="005F425B">
              <w:rPr>
                <w:i/>
                <w:color w:val="000000" w:themeColor="text1"/>
                <w:sz w:val="21"/>
                <w:szCs w:val="22"/>
              </w:rPr>
              <w:t>31  del</w:t>
            </w:r>
            <w:proofErr w:type="gramEnd"/>
            <w:r w:rsidRPr="005F425B">
              <w:rPr>
                <w:i/>
                <w:color w:val="000000" w:themeColor="text1"/>
                <w:sz w:val="21"/>
                <w:szCs w:val="22"/>
              </w:rPr>
              <w:t>28/10/2014</w:t>
            </w:r>
          </w:p>
        </w:tc>
      </w:tr>
    </w:tbl>
    <w:p w:rsidR="003F31B5" w:rsidRPr="00F63A96"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p>
    <w:p w:rsidR="0023517D" w:rsidRPr="00F10358" w:rsidRDefault="001A500A" w:rsidP="003020BA">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b/>
          <w:bCs/>
          <w:color w:val="000000" w:themeColor="text1"/>
          <w:sz w:val="20"/>
          <w:szCs w:val="20"/>
        </w:rPr>
        <w:t>4</w:t>
      </w:r>
      <w:r w:rsidR="003020BA" w:rsidRPr="00F10358">
        <w:rPr>
          <w:rFonts w:ascii="Verdana" w:hAnsi="Verdana"/>
          <w:b/>
          <w:bCs/>
          <w:color w:val="000000" w:themeColor="text1"/>
          <w:sz w:val="20"/>
          <w:szCs w:val="20"/>
        </w:rPr>
        <w:t>. L’attività sociale del CISS</w:t>
      </w:r>
      <w:r w:rsidR="003020BA" w:rsidRPr="00F10358">
        <w:rPr>
          <w:rFonts w:ascii="Verdana" w:hAnsi="Verdana"/>
          <w:color w:val="000000" w:themeColor="text1"/>
          <w:sz w:val="20"/>
          <w:szCs w:val="20"/>
        </w:rPr>
        <w:t xml:space="preserve"> </w:t>
      </w:r>
      <w:r w:rsidR="003020BA" w:rsidRPr="00F10358">
        <w:rPr>
          <w:rFonts w:ascii="Verdana" w:hAnsi="Verdana"/>
          <w:b/>
          <w:bCs/>
          <w:color w:val="000000" w:themeColor="text1"/>
          <w:sz w:val="20"/>
          <w:szCs w:val="20"/>
        </w:rPr>
        <w:t>e l’andamento finanziario</w:t>
      </w:r>
      <w:r w:rsidR="00F931B7" w:rsidRPr="00F10358">
        <w:rPr>
          <w:rFonts w:ascii="Verdana" w:hAnsi="Verdana"/>
          <w:b/>
          <w:bCs/>
          <w:color w:val="000000" w:themeColor="text1"/>
          <w:sz w:val="20"/>
          <w:szCs w:val="20"/>
        </w:rPr>
        <w:t>.</w:t>
      </w:r>
      <w:r w:rsidR="003020BA" w:rsidRPr="00F10358">
        <w:rPr>
          <w:rFonts w:ascii="Verdana" w:hAnsi="Verdana"/>
          <w:b/>
          <w:bCs/>
          <w:color w:val="000000" w:themeColor="text1"/>
          <w:sz w:val="20"/>
          <w:szCs w:val="20"/>
        </w:rPr>
        <w:t xml:space="preserve"> Rapporti con i comuni consorziati</w:t>
      </w:r>
      <w:r w:rsidR="003020BA" w:rsidRPr="00F10358">
        <w:rPr>
          <w:rFonts w:ascii="Verdana" w:hAnsi="Verdana"/>
          <w:color w:val="000000" w:themeColor="text1"/>
          <w:sz w:val="20"/>
          <w:szCs w:val="20"/>
        </w:rPr>
        <w:t xml:space="preserve">. </w:t>
      </w:r>
      <w:r w:rsidR="001B5449" w:rsidRPr="00F10358">
        <w:rPr>
          <w:rFonts w:ascii="Verdana" w:hAnsi="Verdana"/>
          <w:color w:val="000000" w:themeColor="text1"/>
          <w:sz w:val="20"/>
          <w:szCs w:val="20"/>
        </w:rPr>
        <w:t>Il C</w:t>
      </w:r>
      <w:r w:rsidR="00C37456" w:rsidRPr="00F10358">
        <w:rPr>
          <w:rFonts w:ascii="Verdana" w:hAnsi="Verdana"/>
          <w:color w:val="000000" w:themeColor="text1"/>
          <w:sz w:val="20"/>
          <w:szCs w:val="20"/>
        </w:rPr>
        <w:t xml:space="preserve">onsorzio non svolge direttamente l’attività farmaceutica, </w:t>
      </w:r>
      <w:r w:rsidR="001D2A37">
        <w:rPr>
          <w:rFonts w:ascii="Verdana" w:hAnsi="Verdana"/>
          <w:color w:val="000000" w:themeColor="text1"/>
          <w:sz w:val="20"/>
          <w:szCs w:val="20"/>
        </w:rPr>
        <w:t>in quanto si è avvalso</w:t>
      </w:r>
      <w:r w:rsidR="00807FB4">
        <w:rPr>
          <w:rFonts w:ascii="Verdana" w:hAnsi="Verdana"/>
          <w:color w:val="000000" w:themeColor="text1"/>
          <w:sz w:val="20"/>
          <w:szCs w:val="20"/>
        </w:rPr>
        <w:t xml:space="preserve">, fin dalla sua </w:t>
      </w:r>
      <w:r w:rsidR="00C37456" w:rsidRPr="00F10358">
        <w:rPr>
          <w:rFonts w:ascii="Verdana" w:hAnsi="Verdana"/>
          <w:color w:val="000000" w:themeColor="text1"/>
          <w:sz w:val="20"/>
          <w:szCs w:val="20"/>
        </w:rPr>
        <w:t>costitu</w:t>
      </w:r>
      <w:r w:rsidR="00807FB4">
        <w:rPr>
          <w:rFonts w:ascii="Verdana" w:hAnsi="Verdana"/>
          <w:color w:val="000000" w:themeColor="text1"/>
          <w:sz w:val="20"/>
          <w:szCs w:val="20"/>
        </w:rPr>
        <w:t>zione</w:t>
      </w:r>
      <w:r w:rsidR="00C37456" w:rsidRPr="00F10358">
        <w:rPr>
          <w:rFonts w:ascii="Verdana" w:hAnsi="Verdana"/>
          <w:color w:val="000000" w:themeColor="text1"/>
          <w:sz w:val="20"/>
          <w:szCs w:val="20"/>
        </w:rPr>
        <w:t xml:space="preserve">, della facoltà statutaria di esternalizzare la gestione delle licenze </w:t>
      </w:r>
      <w:proofErr w:type="spellStart"/>
      <w:r w:rsidR="00C37456" w:rsidRPr="00F10358">
        <w:rPr>
          <w:rFonts w:ascii="Verdana" w:hAnsi="Verdana"/>
          <w:color w:val="000000" w:themeColor="text1"/>
          <w:sz w:val="20"/>
          <w:szCs w:val="20"/>
        </w:rPr>
        <w:t>prelazionate</w:t>
      </w:r>
      <w:proofErr w:type="spellEnd"/>
      <w:r w:rsidR="00C37456" w:rsidRPr="00F10358">
        <w:rPr>
          <w:rFonts w:ascii="Verdana" w:hAnsi="Verdana"/>
          <w:color w:val="000000" w:themeColor="text1"/>
          <w:sz w:val="20"/>
          <w:szCs w:val="20"/>
        </w:rPr>
        <w:t xml:space="preserve"> a un terzo, segnatamente ad una società mista, </w:t>
      </w:r>
      <w:r w:rsidR="00C37456" w:rsidRPr="004753CD">
        <w:rPr>
          <w:rFonts w:ascii="Verdana" w:hAnsi="Verdana"/>
          <w:i/>
          <w:color w:val="000000" w:themeColor="text1"/>
          <w:sz w:val="20"/>
          <w:szCs w:val="20"/>
        </w:rPr>
        <w:t>ad hoc</w:t>
      </w:r>
      <w:r w:rsidR="00C37456" w:rsidRPr="00F10358">
        <w:rPr>
          <w:rFonts w:ascii="Verdana" w:hAnsi="Verdana"/>
          <w:color w:val="000000" w:themeColor="text1"/>
          <w:sz w:val="20"/>
          <w:szCs w:val="20"/>
        </w:rPr>
        <w:t xml:space="preserve"> </w:t>
      </w:r>
      <w:r w:rsidR="00807FB4">
        <w:rPr>
          <w:rFonts w:ascii="Verdana" w:hAnsi="Verdana"/>
          <w:color w:val="000000" w:themeColor="text1"/>
          <w:sz w:val="20"/>
          <w:szCs w:val="20"/>
        </w:rPr>
        <w:t>istituita</w:t>
      </w:r>
      <w:r w:rsidR="00807FB4" w:rsidRPr="00F10358">
        <w:rPr>
          <w:rFonts w:ascii="Verdana" w:hAnsi="Verdana"/>
          <w:color w:val="000000" w:themeColor="text1"/>
          <w:sz w:val="20"/>
          <w:szCs w:val="20"/>
        </w:rPr>
        <w:t xml:space="preserve"> </w:t>
      </w:r>
      <w:r w:rsidR="00C37456" w:rsidRPr="00F10358">
        <w:rPr>
          <w:rFonts w:ascii="Verdana" w:hAnsi="Verdana"/>
          <w:color w:val="000000" w:themeColor="text1"/>
          <w:sz w:val="20"/>
          <w:szCs w:val="20"/>
        </w:rPr>
        <w:t xml:space="preserve">(cfr. </w:t>
      </w:r>
      <w:r w:rsidR="00C37456" w:rsidRPr="00F10358">
        <w:rPr>
          <w:rFonts w:ascii="Verdana" w:hAnsi="Verdana"/>
          <w:i/>
          <w:color w:val="000000" w:themeColor="text1"/>
          <w:sz w:val="20"/>
          <w:szCs w:val="20"/>
        </w:rPr>
        <w:t>infra</w:t>
      </w:r>
      <w:r w:rsidR="0023517D" w:rsidRPr="00F10358">
        <w:rPr>
          <w:rFonts w:ascii="Verdana" w:hAnsi="Verdana"/>
          <w:color w:val="000000" w:themeColor="text1"/>
          <w:sz w:val="20"/>
          <w:szCs w:val="20"/>
        </w:rPr>
        <w:t>).</w:t>
      </w:r>
    </w:p>
    <w:p w:rsidR="00647D83" w:rsidRPr="00F10358" w:rsidRDefault="00647D83" w:rsidP="005E58EB">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L</w:t>
      </w:r>
      <w:r w:rsidR="002D0DDD" w:rsidRPr="00F10358">
        <w:rPr>
          <w:rFonts w:ascii="Verdana" w:hAnsi="Verdana"/>
          <w:color w:val="000000" w:themeColor="text1"/>
          <w:sz w:val="20"/>
          <w:szCs w:val="20"/>
        </w:rPr>
        <w:t xml:space="preserve">a </w:t>
      </w:r>
      <w:proofErr w:type="spellStart"/>
      <w:r w:rsidR="002D0DDD" w:rsidRPr="00F10358">
        <w:rPr>
          <w:rFonts w:ascii="Verdana" w:hAnsi="Verdana"/>
          <w:i/>
          <w:color w:val="000000" w:themeColor="text1"/>
          <w:sz w:val="20"/>
          <w:szCs w:val="20"/>
        </w:rPr>
        <w:t>mission</w:t>
      </w:r>
      <w:proofErr w:type="spellEnd"/>
      <w:r w:rsidR="002D0DDD" w:rsidRPr="00F10358">
        <w:rPr>
          <w:rFonts w:ascii="Verdana" w:hAnsi="Verdana"/>
          <w:color w:val="000000" w:themeColor="text1"/>
          <w:sz w:val="20"/>
          <w:szCs w:val="20"/>
        </w:rPr>
        <w:t xml:space="preserve"> effettiva del Consorzio non consiste nell’erogazione diretta di alcun servizio sanitario accessorio a quello farmaceutico, </w:t>
      </w:r>
      <w:r w:rsidR="005E58EB" w:rsidRPr="00F10358">
        <w:rPr>
          <w:rFonts w:ascii="Verdana" w:hAnsi="Verdana"/>
          <w:color w:val="000000" w:themeColor="text1"/>
          <w:sz w:val="20"/>
          <w:szCs w:val="20"/>
        </w:rPr>
        <w:t>ma</w:t>
      </w:r>
      <w:r w:rsidR="00BC205B" w:rsidRPr="00F10358">
        <w:rPr>
          <w:rFonts w:ascii="Verdana" w:hAnsi="Verdana"/>
          <w:color w:val="000000" w:themeColor="text1"/>
          <w:sz w:val="20"/>
          <w:szCs w:val="20"/>
        </w:rPr>
        <w:t xml:space="preserve"> soltanto nella </w:t>
      </w:r>
      <w:r w:rsidR="00805664" w:rsidRPr="00F10358">
        <w:rPr>
          <w:rFonts w:ascii="Verdana" w:hAnsi="Verdana"/>
          <w:color w:val="000000" w:themeColor="text1"/>
          <w:sz w:val="20"/>
          <w:szCs w:val="20"/>
        </w:rPr>
        <w:t>funzione</w:t>
      </w:r>
      <w:r w:rsidR="00BC205B" w:rsidRPr="00F10358">
        <w:rPr>
          <w:rFonts w:ascii="Verdana" w:hAnsi="Verdana"/>
          <w:color w:val="000000" w:themeColor="text1"/>
          <w:sz w:val="20"/>
          <w:szCs w:val="20"/>
        </w:rPr>
        <w:t xml:space="preserve"> di </w:t>
      </w:r>
      <w:r w:rsidR="00805664" w:rsidRPr="00F10358">
        <w:rPr>
          <w:rFonts w:ascii="Verdana" w:hAnsi="Verdana"/>
          <w:color w:val="000000" w:themeColor="text1"/>
          <w:sz w:val="20"/>
          <w:szCs w:val="20"/>
        </w:rPr>
        <w:t xml:space="preserve">concentrare le varie licenze di cui i comuni </w:t>
      </w:r>
      <w:r w:rsidR="00807FB4">
        <w:rPr>
          <w:rFonts w:ascii="Verdana" w:hAnsi="Verdana"/>
          <w:color w:val="000000" w:themeColor="text1"/>
          <w:sz w:val="20"/>
          <w:szCs w:val="20"/>
        </w:rPr>
        <w:t xml:space="preserve">si rendano titolari attraverso l’esercizio della </w:t>
      </w:r>
      <w:r w:rsidR="00807FB4" w:rsidRPr="00F10358">
        <w:rPr>
          <w:rFonts w:ascii="Verdana" w:hAnsi="Verdana"/>
          <w:color w:val="000000" w:themeColor="text1"/>
          <w:sz w:val="20"/>
          <w:szCs w:val="20"/>
        </w:rPr>
        <w:t>prelazion</w:t>
      </w:r>
      <w:r w:rsidR="00807FB4">
        <w:rPr>
          <w:rFonts w:ascii="Verdana" w:hAnsi="Verdana"/>
          <w:color w:val="000000" w:themeColor="text1"/>
          <w:sz w:val="20"/>
          <w:szCs w:val="20"/>
        </w:rPr>
        <w:t>e</w:t>
      </w:r>
      <w:r w:rsidRPr="00F10358">
        <w:rPr>
          <w:rFonts w:ascii="Verdana" w:hAnsi="Verdana"/>
          <w:color w:val="000000" w:themeColor="text1"/>
          <w:sz w:val="20"/>
          <w:szCs w:val="20"/>
        </w:rPr>
        <w:t xml:space="preserve">, conferendole </w:t>
      </w:r>
      <w:r w:rsidR="003C36A9" w:rsidRPr="00F10358">
        <w:rPr>
          <w:rFonts w:ascii="Verdana" w:hAnsi="Verdana"/>
          <w:color w:val="000000" w:themeColor="text1"/>
          <w:sz w:val="20"/>
          <w:szCs w:val="20"/>
        </w:rPr>
        <w:t>automaticamente</w:t>
      </w:r>
      <w:r w:rsidRPr="00F10358">
        <w:rPr>
          <w:rFonts w:ascii="Verdana" w:hAnsi="Verdana"/>
          <w:color w:val="000000" w:themeColor="text1"/>
          <w:sz w:val="20"/>
          <w:szCs w:val="20"/>
        </w:rPr>
        <w:t xml:space="preserve">, in gestione, alla società mista </w:t>
      </w:r>
      <w:r w:rsidR="003B4079">
        <w:rPr>
          <w:rFonts w:ascii="Verdana" w:hAnsi="Verdana"/>
          <w:color w:val="000000" w:themeColor="text1"/>
          <w:sz w:val="20"/>
          <w:szCs w:val="20"/>
        </w:rPr>
        <w:t>INCOFARMA</w:t>
      </w:r>
      <w:r w:rsidRPr="00F10358">
        <w:rPr>
          <w:rFonts w:ascii="Verdana" w:hAnsi="Verdana"/>
          <w:color w:val="000000" w:themeColor="text1"/>
          <w:sz w:val="20"/>
          <w:szCs w:val="20"/>
        </w:rPr>
        <w:t xml:space="preserve">. </w:t>
      </w:r>
    </w:p>
    <w:p w:rsidR="003C36A9" w:rsidRPr="00F10358" w:rsidRDefault="00647D83" w:rsidP="005E58EB">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E del resto, come chiarito e confermato in sede di contradditorio finale col CISS,</w:t>
      </w:r>
      <w:r w:rsidR="003C36A9" w:rsidRPr="00F10358">
        <w:rPr>
          <w:rFonts w:ascii="Verdana" w:hAnsi="Verdana"/>
          <w:color w:val="000000" w:themeColor="text1"/>
          <w:sz w:val="20"/>
          <w:szCs w:val="20"/>
        </w:rPr>
        <w:t xml:space="preserve"> l’</w:t>
      </w:r>
      <w:r w:rsidR="00060689" w:rsidRPr="00F10358">
        <w:rPr>
          <w:rFonts w:ascii="Verdana" w:hAnsi="Verdana"/>
          <w:color w:val="000000" w:themeColor="text1"/>
          <w:sz w:val="20"/>
          <w:szCs w:val="20"/>
        </w:rPr>
        <w:t>attività</w:t>
      </w:r>
      <w:r w:rsidR="003C36A9" w:rsidRPr="00F10358">
        <w:rPr>
          <w:rFonts w:ascii="Verdana" w:hAnsi="Verdana"/>
          <w:color w:val="000000" w:themeColor="text1"/>
          <w:sz w:val="20"/>
          <w:szCs w:val="20"/>
        </w:rPr>
        <w:t xml:space="preserve"> del consorzio </w:t>
      </w:r>
      <w:r w:rsidR="00BE7ADE" w:rsidRPr="00F10358">
        <w:rPr>
          <w:rFonts w:ascii="Verdana" w:hAnsi="Verdana"/>
          <w:color w:val="000000" w:themeColor="text1"/>
          <w:sz w:val="20"/>
          <w:szCs w:val="20"/>
        </w:rPr>
        <w:t>«</w:t>
      </w:r>
      <w:r w:rsidR="005E58EB" w:rsidRPr="00F10358">
        <w:rPr>
          <w:rFonts w:ascii="Verdana" w:hAnsi="Verdana"/>
          <w:i/>
          <w:color w:val="000000" w:themeColor="text1"/>
          <w:sz w:val="20"/>
          <w:szCs w:val="20"/>
        </w:rPr>
        <w:t>non può che essere finalizzata alla assegnazione della gestione della farmacia comunale alla società mista</w:t>
      </w:r>
      <w:r w:rsidR="005E58EB" w:rsidRPr="00F10358">
        <w:rPr>
          <w:rFonts w:ascii="Verdana" w:hAnsi="Verdana"/>
          <w:color w:val="000000" w:themeColor="text1"/>
          <w:sz w:val="20"/>
          <w:szCs w:val="20"/>
        </w:rPr>
        <w:t>:</w:t>
      </w:r>
      <w:r w:rsidR="00BE7ADE" w:rsidRPr="00F10358">
        <w:rPr>
          <w:rFonts w:ascii="Verdana" w:hAnsi="Verdana"/>
          <w:i/>
          <w:color w:val="000000" w:themeColor="text1"/>
          <w:sz w:val="20"/>
          <w:szCs w:val="20"/>
        </w:rPr>
        <w:t xml:space="preserve"> </w:t>
      </w:r>
      <w:r w:rsidR="005E58EB" w:rsidRPr="00F10358">
        <w:rPr>
          <w:rFonts w:ascii="Verdana" w:hAnsi="Verdana"/>
          <w:i/>
          <w:color w:val="000000" w:themeColor="text1"/>
          <w:sz w:val="20"/>
          <w:szCs w:val="20"/>
        </w:rPr>
        <w:t xml:space="preserve">ed invero, </w:t>
      </w:r>
      <w:r w:rsidR="00BE7ADE" w:rsidRPr="00F10358">
        <w:rPr>
          <w:rFonts w:ascii="Verdana" w:hAnsi="Verdana"/>
          <w:i/>
          <w:color w:val="000000" w:themeColor="text1"/>
          <w:sz w:val="20"/>
          <w:szCs w:val="20"/>
        </w:rPr>
        <w:t>a ben riflettere, il CISS esiste solo per erogare questo servizio pubblico e a tal fine ha costituito una società mista. Per cui l'adesione al CISS non può che avere questa finalità</w:t>
      </w:r>
      <w:r w:rsidR="00BE7ADE" w:rsidRPr="00F10358">
        <w:rPr>
          <w:rFonts w:ascii="Verdana" w:hAnsi="Verdana"/>
          <w:color w:val="000000" w:themeColor="text1"/>
          <w:sz w:val="20"/>
          <w:szCs w:val="20"/>
        </w:rPr>
        <w:t xml:space="preserve">» </w:t>
      </w:r>
      <w:r w:rsidR="005E58EB" w:rsidRPr="00F10358">
        <w:rPr>
          <w:rFonts w:ascii="Verdana" w:hAnsi="Verdana"/>
          <w:color w:val="000000" w:themeColor="text1"/>
          <w:sz w:val="20"/>
          <w:szCs w:val="20"/>
        </w:rPr>
        <w:t>(</w:t>
      </w:r>
      <w:r w:rsidR="00BC205B" w:rsidRPr="00F10358">
        <w:rPr>
          <w:rFonts w:ascii="Verdana" w:hAnsi="Verdana"/>
          <w:color w:val="000000" w:themeColor="text1"/>
          <w:sz w:val="20"/>
          <w:szCs w:val="20"/>
        </w:rPr>
        <w:t xml:space="preserve">memorie il CISS, </w:t>
      </w:r>
      <w:proofErr w:type="spellStart"/>
      <w:r w:rsidR="00BC205B" w:rsidRPr="00F10358">
        <w:rPr>
          <w:rFonts w:ascii="Verdana" w:hAnsi="Verdana"/>
          <w:color w:val="000000" w:themeColor="text1"/>
          <w:sz w:val="20"/>
          <w:szCs w:val="20"/>
        </w:rPr>
        <w:t>prot</w:t>
      </w:r>
      <w:proofErr w:type="spellEnd"/>
      <w:r w:rsidR="00BC205B" w:rsidRPr="00F10358">
        <w:rPr>
          <w:rFonts w:ascii="Verdana" w:hAnsi="Verdana"/>
          <w:color w:val="000000" w:themeColor="text1"/>
          <w:sz w:val="20"/>
          <w:szCs w:val="20"/>
        </w:rPr>
        <w:t>. C.C. n. 4934 del 26 settembre 2016</w:t>
      </w:r>
      <w:r w:rsidR="005E58EB" w:rsidRPr="00F10358">
        <w:rPr>
          <w:rFonts w:ascii="Verdana" w:hAnsi="Verdana"/>
          <w:color w:val="000000" w:themeColor="text1"/>
          <w:sz w:val="20"/>
          <w:szCs w:val="20"/>
        </w:rPr>
        <w:t>)</w:t>
      </w:r>
      <w:r w:rsidR="001B5449" w:rsidRPr="00F10358">
        <w:rPr>
          <w:rFonts w:ascii="Verdana" w:hAnsi="Verdana"/>
          <w:color w:val="000000" w:themeColor="text1"/>
          <w:sz w:val="20"/>
          <w:szCs w:val="20"/>
        </w:rPr>
        <w:t>»</w:t>
      </w:r>
      <w:r w:rsidR="003C36A9" w:rsidRPr="00F10358">
        <w:rPr>
          <w:rFonts w:ascii="Verdana" w:hAnsi="Verdana"/>
          <w:color w:val="000000" w:themeColor="text1"/>
          <w:sz w:val="20"/>
          <w:szCs w:val="20"/>
        </w:rPr>
        <w:t>.</w:t>
      </w:r>
    </w:p>
    <w:p w:rsidR="00327BDC" w:rsidRPr="00F10358" w:rsidRDefault="003C36A9" w:rsidP="003020BA">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Per altro vers</w:t>
      </w:r>
      <w:r w:rsidR="00C92A8E" w:rsidRPr="00F10358">
        <w:rPr>
          <w:rFonts w:ascii="Verdana" w:hAnsi="Verdana"/>
          <w:color w:val="000000" w:themeColor="text1"/>
          <w:sz w:val="20"/>
          <w:szCs w:val="20"/>
        </w:rPr>
        <w:t>o, il CISS costituisce una sorta</w:t>
      </w:r>
      <w:r w:rsidRPr="00F10358">
        <w:rPr>
          <w:rFonts w:ascii="Verdana" w:hAnsi="Verdana"/>
          <w:color w:val="000000" w:themeColor="text1"/>
          <w:sz w:val="20"/>
          <w:szCs w:val="20"/>
        </w:rPr>
        <w:t xml:space="preserve"> di camera di compensazione</w:t>
      </w:r>
      <w:r w:rsidR="008A1308" w:rsidRPr="00F10358">
        <w:rPr>
          <w:rFonts w:ascii="Verdana" w:hAnsi="Verdana"/>
          <w:color w:val="000000" w:themeColor="text1"/>
          <w:sz w:val="20"/>
          <w:szCs w:val="20"/>
        </w:rPr>
        <w:t xml:space="preserve">, in termini </w:t>
      </w:r>
      <w:proofErr w:type="gramStart"/>
      <w:r w:rsidR="008A1308" w:rsidRPr="00F10358">
        <w:rPr>
          <w:rFonts w:ascii="Verdana" w:hAnsi="Verdana"/>
          <w:color w:val="000000" w:themeColor="text1"/>
          <w:sz w:val="20"/>
          <w:szCs w:val="20"/>
        </w:rPr>
        <w:t>finanziari</w:t>
      </w:r>
      <w:proofErr w:type="gramEnd"/>
      <w:r w:rsidR="008A1308" w:rsidRPr="00F10358">
        <w:rPr>
          <w:rFonts w:ascii="Verdana" w:hAnsi="Verdana"/>
          <w:color w:val="000000" w:themeColor="text1"/>
          <w:sz w:val="20"/>
          <w:szCs w:val="20"/>
        </w:rPr>
        <w:t>,</w:t>
      </w:r>
      <w:r w:rsidRPr="00F10358">
        <w:rPr>
          <w:rFonts w:ascii="Verdana" w:hAnsi="Verdana"/>
          <w:color w:val="000000" w:themeColor="text1"/>
          <w:sz w:val="20"/>
          <w:szCs w:val="20"/>
        </w:rPr>
        <w:t xml:space="preserve"> tra </w:t>
      </w:r>
      <w:r w:rsidR="00327BDC" w:rsidRPr="00F10358">
        <w:rPr>
          <w:rFonts w:ascii="Verdana" w:hAnsi="Verdana"/>
          <w:color w:val="000000" w:themeColor="text1"/>
          <w:sz w:val="20"/>
          <w:szCs w:val="20"/>
        </w:rPr>
        <w:t xml:space="preserve">i comuni consorziati e conferenti le </w:t>
      </w:r>
      <w:r w:rsidR="008A1308" w:rsidRPr="00F10358">
        <w:rPr>
          <w:rFonts w:ascii="Verdana" w:hAnsi="Verdana"/>
          <w:color w:val="000000" w:themeColor="text1"/>
          <w:sz w:val="20"/>
          <w:szCs w:val="20"/>
        </w:rPr>
        <w:t>licenze</w:t>
      </w:r>
      <w:r w:rsidR="00327BDC" w:rsidRPr="00F10358">
        <w:rPr>
          <w:rFonts w:ascii="Verdana" w:hAnsi="Verdana"/>
          <w:color w:val="000000" w:themeColor="text1"/>
          <w:sz w:val="20"/>
          <w:szCs w:val="20"/>
        </w:rPr>
        <w:t xml:space="preserve"> e il socio privat</w:t>
      </w:r>
      <w:r w:rsidR="008A1308" w:rsidRPr="00F10358">
        <w:rPr>
          <w:rFonts w:ascii="Verdana" w:hAnsi="Verdana"/>
          <w:color w:val="000000" w:themeColor="text1"/>
          <w:sz w:val="20"/>
          <w:szCs w:val="20"/>
        </w:rPr>
        <w:t>o</w:t>
      </w:r>
      <w:r w:rsidR="00327BDC" w:rsidRPr="00F10358">
        <w:rPr>
          <w:rFonts w:ascii="Verdana" w:hAnsi="Verdana"/>
          <w:color w:val="000000" w:themeColor="text1"/>
          <w:sz w:val="20"/>
          <w:szCs w:val="20"/>
        </w:rPr>
        <w:t xml:space="preserve">, il quale, sulla base del sistema di corrispettivi </w:t>
      </w:r>
      <w:r w:rsidR="008A1308" w:rsidRPr="00F10358">
        <w:rPr>
          <w:rFonts w:ascii="Verdana" w:hAnsi="Verdana"/>
          <w:color w:val="000000" w:themeColor="text1"/>
          <w:sz w:val="20"/>
          <w:szCs w:val="20"/>
        </w:rPr>
        <w:t>elaborati</w:t>
      </w:r>
      <w:r w:rsidR="00327BDC" w:rsidRPr="00F10358">
        <w:rPr>
          <w:rFonts w:ascii="Verdana" w:hAnsi="Verdana"/>
          <w:color w:val="000000" w:themeColor="text1"/>
          <w:sz w:val="20"/>
          <w:szCs w:val="20"/>
        </w:rPr>
        <w:t xml:space="preserve"> con la convenzione di servizio </w:t>
      </w:r>
      <w:r w:rsidR="008A1308" w:rsidRPr="00F10358">
        <w:rPr>
          <w:rFonts w:ascii="Verdana" w:hAnsi="Verdana"/>
          <w:color w:val="000000" w:themeColor="text1"/>
          <w:sz w:val="20"/>
          <w:szCs w:val="20"/>
        </w:rPr>
        <w:t xml:space="preserve">e gli altri atti collegati </w:t>
      </w:r>
      <w:r w:rsidR="00327BDC" w:rsidRPr="00F10358">
        <w:rPr>
          <w:rFonts w:ascii="Verdana" w:hAnsi="Verdana"/>
          <w:color w:val="000000" w:themeColor="text1"/>
          <w:sz w:val="20"/>
          <w:szCs w:val="20"/>
        </w:rPr>
        <w:t xml:space="preserve">(cfr. </w:t>
      </w:r>
      <w:r w:rsidR="00327BDC" w:rsidRPr="004753CD">
        <w:rPr>
          <w:rFonts w:ascii="Verdana" w:hAnsi="Verdana"/>
          <w:i/>
          <w:color w:val="000000" w:themeColor="text1"/>
          <w:sz w:val="20"/>
          <w:szCs w:val="20"/>
        </w:rPr>
        <w:t>infra</w:t>
      </w:r>
      <w:r w:rsidR="00327BDC" w:rsidRPr="00F10358">
        <w:rPr>
          <w:rFonts w:ascii="Verdana" w:hAnsi="Verdana"/>
          <w:color w:val="000000" w:themeColor="text1"/>
          <w:sz w:val="20"/>
          <w:szCs w:val="20"/>
        </w:rPr>
        <w:t xml:space="preserve">), fornisce ai comuni un </w:t>
      </w:r>
      <w:r w:rsidR="00C92A8E" w:rsidRPr="00F10358">
        <w:rPr>
          <w:rFonts w:ascii="Verdana" w:hAnsi="Verdana"/>
          <w:color w:val="000000" w:themeColor="text1"/>
          <w:sz w:val="20"/>
          <w:szCs w:val="20"/>
        </w:rPr>
        <w:t>ritor</w:t>
      </w:r>
      <w:r w:rsidR="00327BDC" w:rsidRPr="00F10358">
        <w:rPr>
          <w:rFonts w:ascii="Verdana" w:hAnsi="Verdana"/>
          <w:color w:val="000000" w:themeColor="text1"/>
          <w:sz w:val="20"/>
          <w:szCs w:val="20"/>
        </w:rPr>
        <w:t>no finanziario</w:t>
      </w:r>
      <w:r w:rsidR="008A1308" w:rsidRPr="00F10358">
        <w:rPr>
          <w:rFonts w:ascii="Verdana" w:hAnsi="Verdana"/>
          <w:color w:val="000000" w:themeColor="text1"/>
          <w:sz w:val="20"/>
          <w:szCs w:val="20"/>
        </w:rPr>
        <w:t xml:space="preserve"> (</w:t>
      </w:r>
      <w:proofErr w:type="spellStart"/>
      <w:r w:rsidR="008A1308" w:rsidRPr="00F10358">
        <w:rPr>
          <w:rFonts w:ascii="Verdana" w:hAnsi="Verdana"/>
          <w:i/>
          <w:color w:val="000000" w:themeColor="text1"/>
          <w:sz w:val="20"/>
          <w:szCs w:val="20"/>
        </w:rPr>
        <w:t>income</w:t>
      </w:r>
      <w:r w:rsidR="00287723">
        <w:rPr>
          <w:rFonts w:ascii="Verdana" w:hAnsi="Verdana"/>
          <w:i/>
          <w:color w:val="000000" w:themeColor="text1"/>
          <w:sz w:val="20"/>
          <w:szCs w:val="20"/>
        </w:rPr>
        <w:t>-</w:t>
      </w:r>
      <w:r w:rsidR="008A1308" w:rsidRPr="00F10358">
        <w:rPr>
          <w:rFonts w:ascii="Verdana" w:hAnsi="Verdana"/>
          <w:i/>
          <w:color w:val="000000" w:themeColor="text1"/>
          <w:sz w:val="20"/>
          <w:szCs w:val="20"/>
        </w:rPr>
        <w:t>return</w:t>
      </w:r>
      <w:proofErr w:type="spellEnd"/>
      <w:r w:rsidR="00C92A8E" w:rsidRPr="00F10358">
        <w:rPr>
          <w:rFonts w:ascii="Verdana" w:hAnsi="Verdana"/>
          <w:color w:val="000000" w:themeColor="text1"/>
          <w:sz w:val="20"/>
          <w:szCs w:val="20"/>
        </w:rPr>
        <w:t>) a titolo di corrispettivo per l’esternalizzazione della licenza</w:t>
      </w:r>
      <w:r w:rsidR="00807FB4">
        <w:rPr>
          <w:rFonts w:ascii="Verdana" w:hAnsi="Verdana"/>
          <w:color w:val="000000" w:themeColor="text1"/>
          <w:sz w:val="20"/>
          <w:szCs w:val="20"/>
        </w:rPr>
        <w:t>.</w:t>
      </w:r>
      <w:r w:rsidR="00807FB4" w:rsidRPr="00F10358">
        <w:rPr>
          <w:rFonts w:ascii="Verdana" w:hAnsi="Verdana"/>
          <w:color w:val="000000" w:themeColor="text1"/>
          <w:sz w:val="20"/>
          <w:szCs w:val="20"/>
        </w:rPr>
        <w:t xml:space="preserve"> </w:t>
      </w:r>
    </w:p>
    <w:p w:rsidR="00EC3B3F" w:rsidRPr="00F10358" w:rsidRDefault="00EC3B3F" w:rsidP="003020BA">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Il CISS</w:t>
      </w:r>
      <w:r w:rsidR="00DC19ED" w:rsidRPr="00F10358">
        <w:rPr>
          <w:rFonts w:ascii="Verdana" w:hAnsi="Verdana"/>
          <w:color w:val="000000" w:themeColor="text1"/>
          <w:sz w:val="20"/>
          <w:szCs w:val="20"/>
        </w:rPr>
        <w:t xml:space="preserve">, infatti, finanzia </w:t>
      </w:r>
      <w:r w:rsidR="00807FB4" w:rsidRPr="00F10358">
        <w:rPr>
          <w:rFonts w:ascii="Verdana" w:hAnsi="Verdana"/>
          <w:color w:val="000000" w:themeColor="text1"/>
          <w:sz w:val="20"/>
          <w:szCs w:val="20"/>
        </w:rPr>
        <w:t xml:space="preserve">progetti elaborati </w:t>
      </w:r>
      <w:r w:rsidR="00807FB4">
        <w:rPr>
          <w:rFonts w:ascii="Verdana" w:hAnsi="Verdana"/>
          <w:color w:val="000000" w:themeColor="text1"/>
          <w:sz w:val="20"/>
          <w:szCs w:val="20"/>
        </w:rPr>
        <w:t xml:space="preserve">dai </w:t>
      </w:r>
      <w:r w:rsidR="00DC19ED" w:rsidRPr="00F10358">
        <w:rPr>
          <w:rFonts w:ascii="Verdana" w:hAnsi="Verdana"/>
          <w:color w:val="000000" w:themeColor="text1"/>
          <w:sz w:val="20"/>
          <w:szCs w:val="20"/>
        </w:rPr>
        <w:t xml:space="preserve">comuni aderenti (i quali per l’adesione </w:t>
      </w:r>
      <w:r w:rsidR="00D4033D">
        <w:rPr>
          <w:rFonts w:ascii="Verdana" w:hAnsi="Verdana"/>
          <w:color w:val="000000" w:themeColor="text1"/>
          <w:sz w:val="20"/>
          <w:szCs w:val="20"/>
        </w:rPr>
        <w:t xml:space="preserve">al Consorzio </w:t>
      </w:r>
      <w:r w:rsidR="00DC19ED" w:rsidRPr="00F10358">
        <w:rPr>
          <w:rFonts w:ascii="Verdana" w:hAnsi="Verdana"/>
          <w:color w:val="000000" w:themeColor="text1"/>
          <w:sz w:val="20"/>
          <w:szCs w:val="20"/>
        </w:rPr>
        <w:t>pagano un</w:t>
      </w:r>
      <w:r w:rsidR="00D4033D">
        <w:rPr>
          <w:rFonts w:ascii="Verdana" w:hAnsi="Verdana"/>
          <w:color w:val="000000" w:themeColor="text1"/>
          <w:sz w:val="20"/>
          <w:szCs w:val="20"/>
        </w:rPr>
        <w:t xml:space="preserve">a </w:t>
      </w:r>
      <w:proofErr w:type="spellStart"/>
      <w:r w:rsidR="00D4033D" w:rsidRPr="004753CD">
        <w:rPr>
          <w:rFonts w:ascii="Verdana" w:hAnsi="Verdana"/>
          <w:i/>
          <w:color w:val="000000" w:themeColor="text1"/>
          <w:sz w:val="20"/>
          <w:szCs w:val="20"/>
        </w:rPr>
        <w:t>fee</w:t>
      </w:r>
      <w:proofErr w:type="spellEnd"/>
      <w:r w:rsidR="00D4033D">
        <w:rPr>
          <w:rFonts w:ascii="Verdana" w:hAnsi="Verdana"/>
          <w:color w:val="000000" w:themeColor="text1"/>
          <w:sz w:val="20"/>
          <w:szCs w:val="20"/>
        </w:rPr>
        <w:t xml:space="preserve"> di entrata </w:t>
      </w:r>
      <w:r w:rsidRPr="00F10358">
        <w:rPr>
          <w:rFonts w:ascii="Verdana" w:hAnsi="Verdana"/>
          <w:color w:val="000000" w:themeColor="text1"/>
          <w:sz w:val="20"/>
          <w:szCs w:val="20"/>
        </w:rPr>
        <w:t xml:space="preserve">di € 1.000,00) che </w:t>
      </w:r>
      <w:r w:rsidR="00D4033D">
        <w:rPr>
          <w:rFonts w:ascii="Verdana" w:hAnsi="Verdana"/>
          <w:color w:val="000000" w:themeColor="text1"/>
          <w:sz w:val="20"/>
          <w:szCs w:val="20"/>
        </w:rPr>
        <w:t>vengono</w:t>
      </w:r>
      <w:r w:rsidR="00807FB4">
        <w:rPr>
          <w:rFonts w:ascii="Verdana" w:hAnsi="Verdana"/>
          <w:color w:val="000000" w:themeColor="text1"/>
          <w:sz w:val="20"/>
          <w:szCs w:val="20"/>
        </w:rPr>
        <w:t xml:space="preserve"> </w:t>
      </w:r>
      <w:r w:rsidRPr="00F10358">
        <w:rPr>
          <w:rFonts w:ascii="Verdana" w:hAnsi="Verdana"/>
          <w:color w:val="000000" w:themeColor="text1"/>
          <w:sz w:val="20"/>
          <w:szCs w:val="20"/>
        </w:rPr>
        <w:t xml:space="preserve">annualmente preventivamente </w:t>
      </w:r>
      <w:r w:rsidR="00C7730E" w:rsidRPr="00F10358">
        <w:rPr>
          <w:rFonts w:ascii="Verdana" w:hAnsi="Verdana"/>
          <w:color w:val="000000" w:themeColor="text1"/>
          <w:sz w:val="20"/>
          <w:szCs w:val="20"/>
        </w:rPr>
        <w:lastRenderedPageBreak/>
        <w:t xml:space="preserve">presentati e </w:t>
      </w:r>
      <w:r w:rsidRPr="00F10358">
        <w:rPr>
          <w:rFonts w:ascii="Verdana" w:hAnsi="Verdana"/>
          <w:color w:val="000000" w:themeColor="text1"/>
          <w:sz w:val="20"/>
          <w:szCs w:val="20"/>
        </w:rPr>
        <w:t xml:space="preserve">approvati </w:t>
      </w:r>
      <w:r w:rsidR="00C7730E" w:rsidRPr="00F10358">
        <w:rPr>
          <w:rFonts w:ascii="Verdana" w:hAnsi="Verdana"/>
          <w:color w:val="000000" w:themeColor="text1"/>
          <w:sz w:val="20"/>
          <w:szCs w:val="20"/>
        </w:rPr>
        <w:t xml:space="preserve">sulla base di un bando, ovvero </w:t>
      </w:r>
      <w:r w:rsidR="004D51F2">
        <w:rPr>
          <w:rFonts w:ascii="Verdana" w:hAnsi="Verdana"/>
          <w:color w:val="000000" w:themeColor="text1"/>
          <w:sz w:val="20"/>
          <w:szCs w:val="20"/>
        </w:rPr>
        <w:t xml:space="preserve">acquista </w:t>
      </w:r>
      <w:r w:rsidR="009C07C7">
        <w:rPr>
          <w:rFonts w:ascii="Verdana" w:hAnsi="Verdana"/>
          <w:color w:val="000000" w:themeColor="text1"/>
          <w:sz w:val="20"/>
          <w:szCs w:val="20"/>
        </w:rPr>
        <w:t xml:space="preserve">sul mercato i </w:t>
      </w:r>
      <w:r w:rsidRPr="00F10358">
        <w:rPr>
          <w:rFonts w:ascii="Verdana" w:hAnsi="Verdana"/>
          <w:color w:val="000000" w:themeColor="text1"/>
          <w:sz w:val="20"/>
          <w:szCs w:val="20"/>
        </w:rPr>
        <w:t>servizi</w:t>
      </w:r>
      <w:r w:rsidR="009C07C7">
        <w:rPr>
          <w:rFonts w:ascii="Verdana" w:hAnsi="Verdana"/>
          <w:color w:val="000000" w:themeColor="text1"/>
          <w:sz w:val="20"/>
          <w:szCs w:val="20"/>
        </w:rPr>
        <w:t xml:space="preserve">, erogati </w:t>
      </w:r>
      <w:r w:rsidRPr="00F10358">
        <w:rPr>
          <w:rFonts w:ascii="Verdana" w:hAnsi="Verdana"/>
          <w:color w:val="000000" w:themeColor="text1"/>
          <w:sz w:val="20"/>
          <w:szCs w:val="20"/>
        </w:rPr>
        <w:t>da terzi</w:t>
      </w:r>
      <w:r w:rsidR="004D51F2">
        <w:rPr>
          <w:rFonts w:ascii="Verdana" w:hAnsi="Verdana"/>
          <w:color w:val="000000" w:themeColor="text1"/>
          <w:sz w:val="20"/>
          <w:szCs w:val="20"/>
        </w:rPr>
        <w:t>, che sono direttamente</w:t>
      </w:r>
      <w:r w:rsidRPr="00F10358">
        <w:rPr>
          <w:rFonts w:ascii="Verdana" w:hAnsi="Verdana"/>
          <w:color w:val="000000" w:themeColor="text1"/>
          <w:sz w:val="20"/>
          <w:szCs w:val="20"/>
        </w:rPr>
        <w:t xml:space="preserve"> </w:t>
      </w:r>
      <w:r w:rsidR="00807FB4" w:rsidRPr="00F10358">
        <w:rPr>
          <w:rFonts w:ascii="Verdana" w:hAnsi="Verdana"/>
          <w:color w:val="000000" w:themeColor="text1"/>
          <w:sz w:val="20"/>
          <w:szCs w:val="20"/>
        </w:rPr>
        <w:t>incaricat</w:t>
      </w:r>
      <w:r w:rsidR="00807FB4">
        <w:rPr>
          <w:rFonts w:ascii="Verdana" w:hAnsi="Verdana"/>
          <w:color w:val="000000" w:themeColor="text1"/>
          <w:sz w:val="20"/>
          <w:szCs w:val="20"/>
        </w:rPr>
        <w:t>i</w:t>
      </w:r>
      <w:r w:rsidR="00807FB4" w:rsidRPr="00F10358">
        <w:rPr>
          <w:rFonts w:ascii="Verdana" w:hAnsi="Verdana"/>
          <w:color w:val="000000" w:themeColor="text1"/>
          <w:sz w:val="20"/>
          <w:szCs w:val="20"/>
        </w:rPr>
        <w:t xml:space="preserve"> </w:t>
      </w:r>
      <w:r w:rsidRPr="00F10358">
        <w:rPr>
          <w:rFonts w:ascii="Verdana" w:hAnsi="Verdana"/>
          <w:color w:val="000000" w:themeColor="text1"/>
          <w:sz w:val="20"/>
          <w:szCs w:val="20"/>
        </w:rPr>
        <w:t xml:space="preserve">di svolgere </w:t>
      </w:r>
      <w:r w:rsidR="004D51F2">
        <w:rPr>
          <w:rFonts w:ascii="Verdana" w:hAnsi="Verdana"/>
          <w:color w:val="000000" w:themeColor="text1"/>
          <w:sz w:val="20"/>
          <w:szCs w:val="20"/>
        </w:rPr>
        <w:t xml:space="preserve">delle </w:t>
      </w:r>
      <w:r w:rsidRPr="00F10358">
        <w:rPr>
          <w:rFonts w:ascii="Verdana" w:hAnsi="Verdana"/>
          <w:color w:val="000000" w:themeColor="text1"/>
          <w:sz w:val="20"/>
          <w:szCs w:val="20"/>
        </w:rPr>
        <w:t>attività in favore delle popolazioni dei territori interessati.</w:t>
      </w:r>
    </w:p>
    <w:p w:rsidR="003020BA" w:rsidRPr="00F10358" w:rsidRDefault="003020BA" w:rsidP="003020BA">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Qu</w:t>
      </w:r>
      <w:r w:rsidR="00C7730E" w:rsidRPr="00F10358">
        <w:rPr>
          <w:rFonts w:ascii="Verdana" w:hAnsi="Verdana"/>
          <w:color w:val="000000" w:themeColor="text1"/>
          <w:sz w:val="20"/>
          <w:szCs w:val="20"/>
        </w:rPr>
        <w:t>anto ai “</w:t>
      </w:r>
      <w:r w:rsidRPr="00F10358">
        <w:rPr>
          <w:rFonts w:ascii="Verdana" w:hAnsi="Verdana"/>
          <w:color w:val="000000" w:themeColor="text1"/>
          <w:sz w:val="20"/>
          <w:szCs w:val="20"/>
        </w:rPr>
        <w:t>progetti</w:t>
      </w:r>
      <w:r w:rsidR="00C7730E" w:rsidRPr="00F10358">
        <w:rPr>
          <w:rFonts w:ascii="Verdana" w:hAnsi="Verdana"/>
          <w:color w:val="000000" w:themeColor="text1"/>
          <w:sz w:val="20"/>
          <w:szCs w:val="20"/>
        </w:rPr>
        <w:t xml:space="preserve">” (di norma sono ammessi solo i comuni presso cui è stata già </w:t>
      </w:r>
      <w:r w:rsidR="00054F6F" w:rsidRPr="00F10358">
        <w:rPr>
          <w:rFonts w:ascii="Verdana" w:hAnsi="Verdana"/>
          <w:color w:val="000000" w:themeColor="text1"/>
          <w:sz w:val="20"/>
          <w:szCs w:val="20"/>
        </w:rPr>
        <w:t>attiva</w:t>
      </w:r>
      <w:r w:rsidR="00C7730E" w:rsidRPr="00F10358">
        <w:rPr>
          <w:rFonts w:ascii="Verdana" w:hAnsi="Verdana"/>
          <w:color w:val="000000" w:themeColor="text1"/>
          <w:sz w:val="20"/>
          <w:szCs w:val="20"/>
        </w:rPr>
        <w:t xml:space="preserve"> una sede farmaceutica </w:t>
      </w:r>
      <w:proofErr w:type="spellStart"/>
      <w:r w:rsidR="00C7730E" w:rsidRPr="00F10358">
        <w:rPr>
          <w:rFonts w:ascii="Verdana" w:hAnsi="Verdana"/>
          <w:color w:val="000000" w:themeColor="text1"/>
          <w:sz w:val="20"/>
          <w:szCs w:val="20"/>
        </w:rPr>
        <w:t>prelazionata</w:t>
      </w:r>
      <w:proofErr w:type="spellEnd"/>
      <w:r w:rsidR="00C7730E" w:rsidRPr="00F10358">
        <w:rPr>
          <w:rFonts w:ascii="Verdana" w:hAnsi="Verdana"/>
          <w:color w:val="000000" w:themeColor="text1"/>
          <w:sz w:val="20"/>
          <w:szCs w:val="20"/>
        </w:rPr>
        <w:t xml:space="preserve"> e conferita)</w:t>
      </w:r>
      <w:r w:rsidRPr="00F10358">
        <w:rPr>
          <w:rFonts w:ascii="Verdana" w:hAnsi="Verdana"/>
          <w:color w:val="000000" w:themeColor="text1"/>
          <w:sz w:val="20"/>
          <w:szCs w:val="20"/>
        </w:rPr>
        <w:t xml:space="preserve">, i consorziati </w:t>
      </w:r>
      <w:r w:rsidR="00054F6F" w:rsidRPr="00F10358">
        <w:rPr>
          <w:rFonts w:ascii="Verdana" w:hAnsi="Verdana"/>
          <w:color w:val="000000" w:themeColor="text1"/>
          <w:sz w:val="20"/>
          <w:szCs w:val="20"/>
        </w:rPr>
        <w:t xml:space="preserve">la cui proposta è approvata possono ricevere </w:t>
      </w:r>
      <w:r w:rsidRPr="00F10358">
        <w:rPr>
          <w:rFonts w:ascii="Verdana" w:hAnsi="Verdana"/>
          <w:color w:val="000000" w:themeColor="text1"/>
          <w:sz w:val="20"/>
          <w:szCs w:val="20"/>
        </w:rPr>
        <w:t>un finanziamento da € 4.000,00 ad € 8.000,00 a seconda dell’annualità:</w:t>
      </w:r>
    </w:p>
    <w:p w:rsidR="003020BA" w:rsidRPr="00F10358" w:rsidRDefault="003020BA" w:rsidP="003020BA">
      <w:pPr>
        <w:numPr>
          <w:ilvl w:val="0"/>
          <w:numId w:val="32"/>
        </w:numPr>
        <w:shd w:val="clear" w:color="auto" w:fill="FEFFFF"/>
        <w:tabs>
          <w:tab w:val="clear" w:pos="218"/>
          <w:tab w:val="num" w:pos="616"/>
        </w:tabs>
        <w:spacing w:line="360" w:lineRule="auto"/>
        <w:ind w:left="262" w:firstLine="92"/>
        <w:jc w:val="both"/>
        <w:rPr>
          <w:rFonts w:ascii="Verdana" w:eastAsia="Verdana" w:hAnsi="Verdana" w:cs="Verdana"/>
          <w:color w:val="000000" w:themeColor="text1"/>
          <w:position w:val="4"/>
          <w:sz w:val="29"/>
          <w:szCs w:val="29"/>
        </w:rPr>
      </w:pPr>
      <w:proofErr w:type="gramStart"/>
      <w:r w:rsidRPr="00F10358">
        <w:rPr>
          <w:rFonts w:ascii="Verdana" w:hAnsi="Verdana"/>
          <w:color w:val="000000" w:themeColor="text1"/>
          <w:sz w:val="20"/>
          <w:szCs w:val="20"/>
        </w:rPr>
        <w:t>nell’annualità</w:t>
      </w:r>
      <w:proofErr w:type="gramEnd"/>
      <w:r w:rsidRPr="00F10358">
        <w:rPr>
          <w:rFonts w:ascii="Verdana" w:hAnsi="Verdana"/>
          <w:color w:val="000000" w:themeColor="text1"/>
          <w:sz w:val="20"/>
          <w:szCs w:val="20"/>
        </w:rPr>
        <w:t xml:space="preserve"> 2011/21012, sono stati ammessi 12 Comuni. L’erogazione finale è quindi stata di </w:t>
      </w:r>
      <w:proofErr w:type="gramStart"/>
      <w:r w:rsidRPr="00F10358">
        <w:rPr>
          <w:rFonts w:ascii="Verdana" w:hAnsi="Verdana"/>
          <w:color w:val="000000" w:themeColor="text1"/>
          <w:sz w:val="20"/>
          <w:szCs w:val="20"/>
        </w:rPr>
        <w:t>€  96.000</w:t>
      </w:r>
      <w:proofErr w:type="gramEnd"/>
      <w:r w:rsidRPr="00F10358">
        <w:rPr>
          <w:rFonts w:ascii="Verdana" w:hAnsi="Verdana"/>
          <w:color w:val="000000" w:themeColor="text1"/>
          <w:sz w:val="20"/>
          <w:szCs w:val="20"/>
        </w:rPr>
        <w:t>,00;</w:t>
      </w:r>
    </w:p>
    <w:p w:rsidR="003020BA" w:rsidRPr="00F10358" w:rsidRDefault="003020BA" w:rsidP="003020BA">
      <w:pPr>
        <w:numPr>
          <w:ilvl w:val="0"/>
          <w:numId w:val="33"/>
        </w:numPr>
        <w:shd w:val="clear" w:color="auto" w:fill="FEFFFF"/>
        <w:tabs>
          <w:tab w:val="clear" w:pos="218"/>
          <w:tab w:val="num" w:pos="616"/>
        </w:tabs>
        <w:spacing w:line="360" w:lineRule="auto"/>
        <w:ind w:left="262" w:firstLine="92"/>
        <w:jc w:val="both"/>
        <w:rPr>
          <w:rFonts w:ascii="Verdana" w:eastAsia="Verdana" w:hAnsi="Verdana" w:cs="Verdana"/>
          <w:color w:val="000000" w:themeColor="text1"/>
          <w:position w:val="4"/>
          <w:sz w:val="29"/>
          <w:szCs w:val="29"/>
        </w:rPr>
      </w:pPr>
      <w:proofErr w:type="gramStart"/>
      <w:r w:rsidRPr="00F10358">
        <w:rPr>
          <w:rFonts w:ascii="Verdana" w:hAnsi="Verdana"/>
          <w:color w:val="000000" w:themeColor="text1"/>
          <w:sz w:val="20"/>
          <w:szCs w:val="20"/>
        </w:rPr>
        <w:t>nell’annualità</w:t>
      </w:r>
      <w:proofErr w:type="gramEnd"/>
      <w:r w:rsidRPr="00F10358">
        <w:rPr>
          <w:rFonts w:ascii="Verdana" w:hAnsi="Verdana"/>
          <w:color w:val="000000" w:themeColor="text1"/>
          <w:sz w:val="20"/>
          <w:szCs w:val="20"/>
        </w:rPr>
        <w:t xml:space="preserve"> 2013/2014 sono stati ammessi 16 comuni (i Comuni di Cesa, Ottaviano, Calvizzano e Caivano, pur non titolari di farmacie aperte, sono stati invitati a presentare richiesta di contributo per un solo progetto e per un importo massimo di € 4.000,00, cfr. </w:t>
      </w:r>
      <w:proofErr w:type="spellStart"/>
      <w:r w:rsidRPr="00F10358">
        <w:rPr>
          <w:rFonts w:ascii="Verdana" w:hAnsi="Verdana"/>
          <w:color w:val="000000" w:themeColor="text1"/>
          <w:sz w:val="20"/>
          <w:szCs w:val="20"/>
        </w:rPr>
        <w:t>All</w:t>
      </w:r>
      <w:proofErr w:type="spellEnd"/>
      <w:r w:rsidRPr="00F10358">
        <w:rPr>
          <w:rFonts w:ascii="Verdana" w:hAnsi="Verdana"/>
          <w:color w:val="000000" w:themeColor="text1"/>
          <w:sz w:val="20"/>
          <w:szCs w:val="20"/>
        </w:rPr>
        <w:t xml:space="preserve">. 34.5 e </w:t>
      </w:r>
      <w:proofErr w:type="spellStart"/>
      <w:r w:rsidRPr="00F10358">
        <w:rPr>
          <w:rFonts w:ascii="Verdana" w:hAnsi="Verdana"/>
          <w:color w:val="000000" w:themeColor="text1"/>
          <w:sz w:val="20"/>
          <w:szCs w:val="20"/>
        </w:rPr>
        <w:t>All</w:t>
      </w:r>
      <w:proofErr w:type="spellEnd"/>
      <w:r w:rsidRPr="00F10358">
        <w:rPr>
          <w:rFonts w:ascii="Verdana" w:hAnsi="Verdana"/>
          <w:color w:val="000000" w:themeColor="text1"/>
          <w:sz w:val="20"/>
          <w:szCs w:val="20"/>
        </w:rPr>
        <w:t>. 36.1), per un totale di € 119.979,00;</w:t>
      </w:r>
    </w:p>
    <w:p w:rsidR="003020BA" w:rsidRPr="00F10358" w:rsidRDefault="003020BA" w:rsidP="003020BA">
      <w:pPr>
        <w:numPr>
          <w:ilvl w:val="0"/>
          <w:numId w:val="34"/>
        </w:numPr>
        <w:shd w:val="clear" w:color="auto" w:fill="FEFFFF"/>
        <w:tabs>
          <w:tab w:val="clear" w:pos="218"/>
          <w:tab w:val="num" w:pos="616"/>
        </w:tabs>
        <w:spacing w:line="360" w:lineRule="auto"/>
        <w:ind w:left="262" w:firstLine="92"/>
        <w:jc w:val="both"/>
        <w:rPr>
          <w:rFonts w:ascii="Verdana" w:eastAsia="Verdana" w:hAnsi="Verdana" w:cs="Verdana"/>
          <w:color w:val="000000" w:themeColor="text1"/>
          <w:position w:val="4"/>
          <w:sz w:val="29"/>
          <w:szCs w:val="29"/>
        </w:rPr>
      </w:pPr>
      <w:proofErr w:type="gramStart"/>
      <w:r w:rsidRPr="00F10358">
        <w:rPr>
          <w:rFonts w:ascii="Verdana" w:hAnsi="Verdana"/>
          <w:color w:val="000000" w:themeColor="text1"/>
          <w:sz w:val="20"/>
          <w:szCs w:val="20"/>
        </w:rPr>
        <w:t>per</w:t>
      </w:r>
      <w:proofErr w:type="gramEnd"/>
      <w:r w:rsidRPr="00F10358">
        <w:rPr>
          <w:rFonts w:ascii="Verdana" w:hAnsi="Verdana"/>
          <w:color w:val="000000" w:themeColor="text1"/>
          <w:sz w:val="20"/>
          <w:szCs w:val="20"/>
        </w:rPr>
        <w:t xml:space="preserve"> le annualità 2015/2016 sono state stanziate somme per ogni Comune consorziato con farmacia per un importo massimo € 6.000,00 essendo 15 i Comuni con farmacia alla data del 23/12/2014 (</w:t>
      </w:r>
      <w:r w:rsidRPr="00F10358">
        <w:rPr>
          <w:rFonts w:ascii="Verdana" w:hAnsi="Verdana"/>
          <w:i/>
          <w:color w:val="000000" w:themeColor="text1"/>
          <w:sz w:val="20"/>
          <w:szCs w:val="20"/>
        </w:rPr>
        <w:t>ergo</w:t>
      </w:r>
      <w:r w:rsidRPr="00F10358">
        <w:rPr>
          <w:rFonts w:ascii="Verdana" w:hAnsi="Verdana"/>
          <w:color w:val="000000" w:themeColor="text1"/>
          <w:sz w:val="20"/>
          <w:szCs w:val="20"/>
        </w:rPr>
        <w:t xml:space="preserve"> € 90.000,00).</w:t>
      </w:r>
    </w:p>
    <w:p w:rsidR="003020BA" w:rsidRPr="00F10358" w:rsidRDefault="005A34FD" w:rsidP="003020BA">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 xml:space="preserve">In altre occasioni, il Consorzio </w:t>
      </w:r>
      <w:r w:rsidR="005F55D4" w:rsidRPr="00F10358">
        <w:rPr>
          <w:rFonts w:ascii="Verdana" w:hAnsi="Verdana"/>
          <w:color w:val="000000" w:themeColor="text1"/>
          <w:sz w:val="20"/>
          <w:szCs w:val="20"/>
        </w:rPr>
        <w:t>esternalizza la resa diretta di servizi socio-sanitari, come nel caso dell’appalto affidato alla cooper</w:t>
      </w:r>
      <w:r w:rsidR="008D2B0B">
        <w:rPr>
          <w:rFonts w:ascii="Verdana" w:hAnsi="Verdana"/>
          <w:color w:val="000000" w:themeColor="text1"/>
          <w:sz w:val="20"/>
          <w:szCs w:val="20"/>
        </w:rPr>
        <w:t>a</w:t>
      </w:r>
      <w:r w:rsidR="005F55D4" w:rsidRPr="00F10358">
        <w:rPr>
          <w:rFonts w:ascii="Verdana" w:hAnsi="Verdana"/>
          <w:color w:val="000000" w:themeColor="text1"/>
          <w:sz w:val="20"/>
          <w:szCs w:val="20"/>
        </w:rPr>
        <w:t xml:space="preserve">tiva sociale </w:t>
      </w:r>
      <w:r w:rsidR="003020BA" w:rsidRPr="00F10358">
        <w:rPr>
          <w:rFonts w:ascii="Verdana" w:hAnsi="Verdana"/>
          <w:color w:val="000000" w:themeColor="text1"/>
          <w:sz w:val="20"/>
          <w:szCs w:val="20"/>
        </w:rPr>
        <w:t xml:space="preserve">“Consorzio confini” </w:t>
      </w:r>
      <w:r w:rsidR="00F17C6B" w:rsidRPr="00F10358">
        <w:rPr>
          <w:rFonts w:ascii="Verdana" w:hAnsi="Verdana"/>
          <w:color w:val="000000" w:themeColor="text1"/>
          <w:sz w:val="20"/>
          <w:szCs w:val="20"/>
        </w:rPr>
        <w:t>(nell’abito di un</w:t>
      </w:r>
      <w:r w:rsidR="003020BA" w:rsidRPr="00F10358">
        <w:rPr>
          <w:rFonts w:ascii="Verdana" w:hAnsi="Verdana"/>
          <w:color w:val="000000" w:themeColor="text1"/>
          <w:sz w:val="20"/>
          <w:szCs w:val="20"/>
        </w:rPr>
        <w:t>’azione di sensibilizzazione ed informazione sanitaria rivolta ai cittadini d</w:t>
      </w:r>
      <w:r w:rsidR="00F17C6B" w:rsidRPr="00F10358">
        <w:rPr>
          <w:rFonts w:ascii="Verdana" w:hAnsi="Verdana"/>
          <w:color w:val="000000" w:themeColor="text1"/>
          <w:sz w:val="20"/>
          <w:szCs w:val="20"/>
        </w:rPr>
        <w:t xml:space="preserve">ei Comuni consorziati, </w:t>
      </w:r>
      <w:r w:rsidR="003020BA" w:rsidRPr="00F10358">
        <w:rPr>
          <w:rFonts w:ascii="Verdana" w:hAnsi="Verdana"/>
          <w:color w:val="000000" w:themeColor="text1"/>
          <w:sz w:val="20"/>
          <w:szCs w:val="20"/>
        </w:rPr>
        <w:t>cfr. Allegato n° 27), per un totale di € 84.500,00 nel 2012.</w:t>
      </w:r>
    </w:p>
    <w:p w:rsidR="00A729EF" w:rsidRPr="00F10358" w:rsidRDefault="00DD43B6" w:rsidP="003020BA">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In buona sostanza</w:t>
      </w:r>
      <w:r w:rsidR="00EA0F04" w:rsidRPr="00F10358">
        <w:rPr>
          <w:rFonts w:ascii="Verdana" w:hAnsi="Verdana"/>
          <w:color w:val="000000" w:themeColor="text1"/>
          <w:sz w:val="20"/>
          <w:szCs w:val="20"/>
        </w:rPr>
        <w:t xml:space="preserve">, i </w:t>
      </w:r>
      <w:r w:rsidR="009C4747" w:rsidRPr="00F10358">
        <w:rPr>
          <w:rFonts w:ascii="Verdana" w:hAnsi="Verdana"/>
          <w:color w:val="000000" w:themeColor="text1"/>
          <w:sz w:val="20"/>
          <w:szCs w:val="20"/>
        </w:rPr>
        <w:t>comu</w:t>
      </w:r>
      <w:r w:rsidR="007361FE" w:rsidRPr="00F10358">
        <w:rPr>
          <w:rFonts w:ascii="Verdana" w:hAnsi="Verdana"/>
          <w:color w:val="000000" w:themeColor="text1"/>
          <w:sz w:val="20"/>
          <w:szCs w:val="20"/>
        </w:rPr>
        <w:t>ni</w:t>
      </w:r>
      <w:r w:rsidR="00EA0F04" w:rsidRPr="00F10358">
        <w:rPr>
          <w:rFonts w:ascii="Verdana" w:hAnsi="Verdana"/>
          <w:color w:val="000000" w:themeColor="text1"/>
          <w:sz w:val="20"/>
          <w:szCs w:val="20"/>
        </w:rPr>
        <w:t xml:space="preserve"> consorziati “percepiscono” </w:t>
      </w:r>
      <w:r w:rsidR="007361FE" w:rsidRPr="00F10358">
        <w:rPr>
          <w:rFonts w:ascii="Verdana" w:hAnsi="Verdana"/>
          <w:color w:val="000000" w:themeColor="text1"/>
          <w:sz w:val="20"/>
          <w:szCs w:val="20"/>
        </w:rPr>
        <w:t xml:space="preserve">una remunerazione </w:t>
      </w:r>
      <w:r w:rsidR="00D04014" w:rsidRPr="00F10358">
        <w:rPr>
          <w:rFonts w:ascii="Verdana" w:hAnsi="Verdana"/>
          <w:color w:val="000000" w:themeColor="text1"/>
          <w:sz w:val="20"/>
          <w:szCs w:val="20"/>
        </w:rPr>
        <w:t xml:space="preserve">netta </w:t>
      </w:r>
      <w:r w:rsidR="007361FE" w:rsidRPr="00F10358">
        <w:rPr>
          <w:rFonts w:ascii="Verdana" w:hAnsi="Verdana"/>
          <w:color w:val="000000" w:themeColor="text1"/>
          <w:sz w:val="20"/>
          <w:szCs w:val="20"/>
        </w:rPr>
        <w:t>per il conferimento delle loro licenze</w:t>
      </w:r>
      <w:r w:rsidR="00B13A4A" w:rsidRPr="00F10358">
        <w:rPr>
          <w:rFonts w:ascii="Verdana" w:hAnsi="Verdana"/>
          <w:color w:val="000000" w:themeColor="text1"/>
          <w:sz w:val="20"/>
          <w:szCs w:val="20"/>
        </w:rPr>
        <w:t xml:space="preserve"> o in “natura” (in termini di maggiori servizi esternalizzati a soggetti individuati dal CISS) </w:t>
      </w:r>
      <w:r w:rsidR="009C4747" w:rsidRPr="00F10358">
        <w:rPr>
          <w:rFonts w:ascii="Verdana" w:hAnsi="Verdana"/>
          <w:color w:val="000000" w:themeColor="text1"/>
          <w:sz w:val="20"/>
          <w:szCs w:val="20"/>
        </w:rPr>
        <w:t>o</w:t>
      </w:r>
      <w:r w:rsidR="0056170D" w:rsidRPr="00F10358">
        <w:rPr>
          <w:rFonts w:ascii="Verdana" w:hAnsi="Verdana"/>
          <w:color w:val="000000" w:themeColor="text1"/>
          <w:sz w:val="20"/>
          <w:szCs w:val="20"/>
        </w:rPr>
        <w:t>vvero</w:t>
      </w:r>
      <w:r w:rsidR="009C4747" w:rsidRPr="00F10358">
        <w:rPr>
          <w:rFonts w:ascii="Verdana" w:hAnsi="Verdana"/>
          <w:color w:val="000000" w:themeColor="text1"/>
          <w:sz w:val="20"/>
          <w:szCs w:val="20"/>
        </w:rPr>
        <w:t xml:space="preserve"> in termini di </w:t>
      </w:r>
      <w:r w:rsidR="009C4747" w:rsidRPr="004753CD">
        <w:rPr>
          <w:rFonts w:ascii="Verdana" w:hAnsi="Verdana"/>
          <w:i/>
          <w:color w:val="000000" w:themeColor="text1"/>
          <w:sz w:val="20"/>
          <w:szCs w:val="20"/>
        </w:rPr>
        <w:t>f</w:t>
      </w:r>
      <w:r w:rsidR="009C4747" w:rsidRPr="00F10358">
        <w:rPr>
          <w:rFonts w:ascii="Verdana" w:hAnsi="Verdana"/>
          <w:i/>
          <w:color w:val="000000" w:themeColor="text1"/>
          <w:sz w:val="20"/>
          <w:szCs w:val="20"/>
        </w:rPr>
        <w:t xml:space="preserve">eed-back </w:t>
      </w:r>
      <w:r w:rsidR="009C4747" w:rsidRPr="00F10358">
        <w:rPr>
          <w:rFonts w:ascii="Verdana" w:hAnsi="Verdana"/>
          <w:color w:val="000000" w:themeColor="text1"/>
          <w:sz w:val="20"/>
          <w:szCs w:val="20"/>
        </w:rPr>
        <w:t>finanziario per la gestione esternalizzata delle farmacie (sotto condizione della destinazione di tali somme a servizi</w:t>
      </w:r>
      <w:r w:rsidR="00A729EF" w:rsidRPr="00F10358">
        <w:rPr>
          <w:rFonts w:ascii="Verdana" w:hAnsi="Verdana"/>
          <w:color w:val="000000" w:themeColor="text1"/>
          <w:sz w:val="20"/>
          <w:szCs w:val="20"/>
        </w:rPr>
        <w:t xml:space="preserve"> sanitari accessori)</w:t>
      </w:r>
      <w:r w:rsidR="00D04014" w:rsidRPr="00F10358">
        <w:rPr>
          <w:rFonts w:ascii="Verdana" w:hAnsi="Verdana"/>
          <w:color w:val="000000" w:themeColor="text1"/>
          <w:sz w:val="20"/>
          <w:szCs w:val="20"/>
        </w:rPr>
        <w:t xml:space="preserve">, </w:t>
      </w:r>
      <w:r w:rsidR="00A729EF" w:rsidRPr="00F10358">
        <w:rPr>
          <w:rFonts w:ascii="Verdana" w:hAnsi="Verdana"/>
          <w:color w:val="000000" w:themeColor="text1"/>
          <w:sz w:val="20"/>
          <w:szCs w:val="20"/>
        </w:rPr>
        <w:t xml:space="preserve">senza </w:t>
      </w:r>
      <w:r w:rsidR="0056170D" w:rsidRPr="00F10358">
        <w:rPr>
          <w:rFonts w:ascii="Verdana" w:hAnsi="Verdana"/>
          <w:color w:val="000000" w:themeColor="text1"/>
          <w:sz w:val="20"/>
          <w:szCs w:val="20"/>
        </w:rPr>
        <w:t>tema</w:t>
      </w:r>
      <w:r w:rsidR="00D04014" w:rsidRPr="00F10358">
        <w:rPr>
          <w:rFonts w:ascii="Verdana" w:hAnsi="Verdana"/>
          <w:color w:val="000000" w:themeColor="text1"/>
          <w:sz w:val="20"/>
          <w:szCs w:val="20"/>
        </w:rPr>
        <w:t xml:space="preserve"> di subire</w:t>
      </w:r>
      <w:r w:rsidR="00947AA3" w:rsidRPr="00F10358">
        <w:rPr>
          <w:rFonts w:ascii="Verdana" w:hAnsi="Verdana"/>
          <w:color w:val="000000" w:themeColor="text1"/>
          <w:sz w:val="20"/>
          <w:szCs w:val="20"/>
        </w:rPr>
        <w:t xml:space="preserve"> </w:t>
      </w:r>
      <w:r w:rsidR="00D04014" w:rsidRPr="00F10358">
        <w:rPr>
          <w:rFonts w:ascii="Verdana" w:hAnsi="Verdana"/>
          <w:color w:val="000000" w:themeColor="text1"/>
          <w:sz w:val="20"/>
          <w:szCs w:val="20"/>
        </w:rPr>
        <w:t>alcun costo</w:t>
      </w:r>
      <w:r w:rsidR="0056170D" w:rsidRPr="00F10358">
        <w:rPr>
          <w:rFonts w:ascii="Verdana" w:hAnsi="Verdana"/>
          <w:color w:val="000000" w:themeColor="text1"/>
          <w:sz w:val="20"/>
          <w:szCs w:val="20"/>
        </w:rPr>
        <w:t xml:space="preserve"> ulteriore</w:t>
      </w:r>
      <w:r w:rsidR="00D04014" w:rsidRPr="00F10358">
        <w:rPr>
          <w:rFonts w:ascii="Verdana" w:hAnsi="Verdana"/>
          <w:color w:val="000000" w:themeColor="text1"/>
          <w:sz w:val="20"/>
          <w:szCs w:val="20"/>
        </w:rPr>
        <w:t xml:space="preserve"> </w:t>
      </w:r>
      <w:r w:rsidR="00676B11">
        <w:rPr>
          <w:rFonts w:ascii="Verdana" w:hAnsi="Verdana"/>
          <w:color w:val="000000" w:themeColor="text1"/>
          <w:sz w:val="20"/>
          <w:szCs w:val="20"/>
        </w:rPr>
        <w:t>rispetto al</w:t>
      </w:r>
      <w:r w:rsidR="00D04014" w:rsidRPr="00F10358">
        <w:rPr>
          <w:rFonts w:ascii="Verdana" w:hAnsi="Verdana"/>
          <w:color w:val="000000" w:themeColor="text1"/>
          <w:sz w:val="20"/>
          <w:szCs w:val="20"/>
        </w:rPr>
        <w:t xml:space="preserve"> conferimento </w:t>
      </w:r>
      <w:r w:rsidR="00D04014" w:rsidRPr="00F10358">
        <w:rPr>
          <w:rFonts w:ascii="Verdana" w:hAnsi="Verdana"/>
          <w:i/>
          <w:color w:val="000000" w:themeColor="text1"/>
          <w:sz w:val="20"/>
          <w:szCs w:val="20"/>
        </w:rPr>
        <w:t xml:space="preserve">una tantum </w:t>
      </w:r>
      <w:r w:rsidR="00D04014" w:rsidRPr="00F10358">
        <w:rPr>
          <w:rFonts w:ascii="Verdana" w:hAnsi="Verdana"/>
          <w:color w:val="000000" w:themeColor="text1"/>
          <w:sz w:val="20"/>
          <w:szCs w:val="20"/>
        </w:rPr>
        <w:t xml:space="preserve">di € 1.000,00 </w:t>
      </w:r>
      <w:r w:rsidR="009A5D64" w:rsidRPr="00F10358">
        <w:rPr>
          <w:rFonts w:ascii="Verdana" w:hAnsi="Verdana"/>
          <w:color w:val="000000" w:themeColor="text1"/>
          <w:sz w:val="20"/>
          <w:szCs w:val="20"/>
        </w:rPr>
        <w:t xml:space="preserve">per l’adesione al CISS </w:t>
      </w:r>
      <w:r w:rsidR="00B63BA3" w:rsidRPr="00F10358">
        <w:rPr>
          <w:rFonts w:ascii="Verdana" w:hAnsi="Verdana"/>
          <w:color w:val="000000" w:themeColor="text1"/>
          <w:sz w:val="20"/>
          <w:szCs w:val="20"/>
        </w:rPr>
        <w:t>né alcuna perdita</w:t>
      </w:r>
      <w:r w:rsidR="009A5D64" w:rsidRPr="00F10358">
        <w:rPr>
          <w:rFonts w:ascii="Verdana" w:hAnsi="Verdana"/>
          <w:color w:val="000000" w:themeColor="text1"/>
          <w:sz w:val="20"/>
          <w:szCs w:val="20"/>
        </w:rPr>
        <w:t xml:space="preserve"> per la gestione delle farmacie</w:t>
      </w:r>
      <w:r w:rsidR="00B63BA3" w:rsidRPr="00F10358">
        <w:rPr>
          <w:rFonts w:ascii="Verdana" w:hAnsi="Verdana"/>
          <w:color w:val="000000" w:themeColor="text1"/>
          <w:sz w:val="20"/>
          <w:szCs w:val="20"/>
        </w:rPr>
        <w:t>, in quanto il rischio d’impresa è stato esternalizzato al socio privato e alla società</w:t>
      </w:r>
      <w:r w:rsidR="00B13A4A" w:rsidRPr="00F10358">
        <w:rPr>
          <w:rFonts w:ascii="Verdana" w:hAnsi="Verdana"/>
          <w:color w:val="000000" w:themeColor="text1"/>
          <w:sz w:val="20"/>
          <w:szCs w:val="20"/>
        </w:rPr>
        <w:t xml:space="preserve"> mista</w:t>
      </w:r>
      <w:r w:rsidR="009A5D64" w:rsidRPr="00F10358">
        <w:rPr>
          <w:rFonts w:ascii="Verdana" w:hAnsi="Verdana"/>
          <w:color w:val="000000" w:themeColor="text1"/>
          <w:sz w:val="20"/>
          <w:szCs w:val="20"/>
        </w:rPr>
        <w:t xml:space="preserve"> (che si accolla i costi </w:t>
      </w:r>
      <w:r w:rsidR="00676B11">
        <w:rPr>
          <w:rFonts w:ascii="Verdana" w:hAnsi="Verdana"/>
          <w:color w:val="000000" w:themeColor="text1"/>
          <w:sz w:val="20"/>
          <w:szCs w:val="20"/>
        </w:rPr>
        <w:t xml:space="preserve">di </w:t>
      </w:r>
      <w:r w:rsidR="009A5D64" w:rsidRPr="00F10358">
        <w:rPr>
          <w:rFonts w:ascii="Verdana" w:hAnsi="Verdana"/>
          <w:color w:val="000000" w:themeColor="text1"/>
          <w:sz w:val="20"/>
          <w:szCs w:val="20"/>
        </w:rPr>
        <w:t xml:space="preserve">avviamento per le nuove farmacie e, in base </w:t>
      </w:r>
      <w:r w:rsidR="00676B11" w:rsidRPr="00F10358">
        <w:rPr>
          <w:rFonts w:ascii="Verdana" w:hAnsi="Verdana"/>
          <w:color w:val="000000" w:themeColor="text1"/>
          <w:sz w:val="20"/>
          <w:szCs w:val="20"/>
        </w:rPr>
        <w:t>a</w:t>
      </w:r>
      <w:r w:rsidR="00676B11">
        <w:rPr>
          <w:rFonts w:ascii="Verdana" w:hAnsi="Verdana"/>
          <w:color w:val="000000" w:themeColor="text1"/>
          <w:sz w:val="20"/>
          <w:szCs w:val="20"/>
        </w:rPr>
        <w:t>lle pattuizioni</w:t>
      </w:r>
      <w:r w:rsidR="00676B11" w:rsidRPr="00F10358">
        <w:rPr>
          <w:rFonts w:ascii="Verdana" w:hAnsi="Verdana"/>
          <w:color w:val="000000" w:themeColor="text1"/>
          <w:sz w:val="20"/>
          <w:szCs w:val="20"/>
        </w:rPr>
        <w:t xml:space="preserve"> </w:t>
      </w:r>
      <w:r w:rsidR="009A5D64" w:rsidRPr="00F10358">
        <w:rPr>
          <w:rFonts w:ascii="Verdana" w:hAnsi="Verdana"/>
          <w:color w:val="000000" w:themeColor="text1"/>
          <w:sz w:val="20"/>
          <w:szCs w:val="20"/>
        </w:rPr>
        <w:t>d</w:t>
      </w:r>
      <w:r w:rsidR="00676B11">
        <w:rPr>
          <w:rFonts w:ascii="Verdana" w:hAnsi="Verdana"/>
          <w:color w:val="000000" w:themeColor="text1"/>
          <w:sz w:val="20"/>
          <w:szCs w:val="20"/>
        </w:rPr>
        <w:t>ei</w:t>
      </w:r>
      <w:r w:rsidR="009A5D64" w:rsidRPr="00F10358">
        <w:rPr>
          <w:rFonts w:ascii="Verdana" w:hAnsi="Verdana"/>
          <w:color w:val="000000" w:themeColor="text1"/>
          <w:sz w:val="20"/>
          <w:szCs w:val="20"/>
        </w:rPr>
        <w:t xml:space="preserve"> contratti di servizio, manleva il Consorzio dalle</w:t>
      </w:r>
      <w:r w:rsidR="00676B11">
        <w:rPr>
          <w:rFonts w:ascii="Verdana" w:hAnsi="Verdana"/>
          <w:color w:val="000000" w:themeColor="text1"/>
          <w:sz w:val="20"/>
          <w:szCs w:val="20"/>
        </w:rPr>
        <w:t xml:space="preserve"> eventuali</w:t>
      </w:r>
      <w:r w:rsidR="009A5D64" w:rsidRPr="00F10358">
        <w:rPr>
          <w:rFonts w:ascii="Verdana" w:hAnsi="Verdana"/>
          <w:color w:val="000000" w:themeColor="text1"/>
          <w:sz w:val="20"/>
          <w:szCs w:val="20"/>
        </w:rPr>
        <w:t xml:space="preserve"> perdite, </w:t>
      </w:r>
      <w:r w:rsidR="00676B11">
        <w:rPr>
          <w:rFonts w:ascii="Verdana" w:hAnsi="Verdana"/>
          <w:color w:val="000000" w:themeColor="text1"/>
          <w:sz w:val="20"/>
          <w:szCs w:val="20"/>
        </w:rPr>
        <w:t xml:space="preserve">garantendo allo stesso la copertura dei costi amministrativi </w:t>
      </w:r>
      <w:r w:rsidR="009A5D64" w:rsidRPr="00F10358">
        <w:rPr>
          <w:rFonts w:ascii="Verdana" w:hAnsi="Verdana"/>
          <w:color w:val="000000" w:themeColor="text1"/>
          <w:sz w:val="20"/>
          <w:szCs w:val="20"/>
        </w:rPr>
        <w:t xml:space="preserve">cfr. </w:t>
      </w:r>
      <w:r w:rsidR="009A5D64" w:rsidRPr="00F10358">
        <w:rPr>
          <w:rFonts w:ascii="Verdana" w:hAnsi="Verdana"/>
          <w:i/>
          <w:color w:val="000000" w:themeColor="text1"/>
          <w:sz w:val="20"/>
          <w:szCs w:val="20"/>
        </w:rPr>
        <w:t>infra</w:t>
      </w:r>
      <w:r w:rsidR="00583644" w:rsidRPr="00F10358">
        <w:rPr>
          <w:rFonts w:ascii="Verdana" w:hAnsi="Verdana"/>
          <w:i/>
          <w:color w:val="000000" w:themeColor="text1"/>
          <w:sz w:val="20"/>
          <w:szCs w:val="20"/>
        </w:rPr>
        <w:t xml:space="preserve"> </w:t>
      </w:r>
      <w:r w:rsidR="00583644" w:rsidRPr="00F10358">
        <w:rPr>
          <w:rFonts w:ascii="Verdana" w:hAnsi="Verdana"/>
          <w:color w:val="000000" w:themeColor="text1"/>
          <w:sz w:val="20"/>
          <w:szCs w:val="20"/>
        </w:rPr>
        <w:t>§ 7</w:t>
      </w:r>
      <w:r w:rsidR="00947AA3" w:rsidRPr="00F10358">
        <w:rPr>
          <w:rFonts w:ascii="Verdana" w:hAnsi="Verdana"/>
          <w:color w:val="000000" w:themeColor="text1"/>
          <w:sz w:val="20"/>
          <w:szCs w:val="20"/>
        </w:rPr>
        <w:t>)</w:t>
      </w:r>
      <w:r w:rsidR="00A729EF" w:rsidRPr="00F10358">
        <w:rPr>
          <w:rFonts w:ascii="Verdana" w:hAnsi="Verdana"/>
          <w:color w:val="000000" w:themeColor="text1"/>
          <w:sz w:val="20"/>
          <w:szCs w:val="20"/>
        </w:rPr>
        <w:t>.</w:t>
      </w:r>
      <w:r w:rsidR="002A5E6C" w:rsidRPr="00F10358">
        <w:rPr>
          <w:rFonts w:ascii="Verdana" w:hAnsi="Verdana"/>
          <w:color w:val="000000" w:themeColor="text1"/>
          <w:sz w:val="20"/>
          <w:szCs w:val="20"/>
        </w:rPr>
        <w:t xml:space="preserve"> In buona sostanza</w:t>
      </w:r>
      <w:r w:rsidR="0094065A">
        <w:rPr>
          <w:rFonts w:ascii="Verdana" w:hAnsi="Verdana"/>
          <w:color w:val="000000" w:themeColor="text1"/>
          <w:sz w:val="20"/>
          <w:szCs w:val="20"/>
        </w:rPr>
        <w:t xml:space="preserve">, </w:t>
      </w:r>
      <w:r w:rsidR="002A5E6C" w:rsidRPr="00F10358">
        <w:rPr>
          <w:rFonts w:ascii="Verdana" w:hAnsi="Verdana"/>
          <w:color w:val="000000" w:themeColor="text1"/>
          <w:sz w:val="20"/>
          <w:szCs w:val="20"/>
        </w:rPr>
        <w:t>il rischio di impresa</w:t>
      </w:r>
      <w:r w:rsidR="009D49DA">
        <w:rPr>
          <w:rFonts w:ascii="Verdana" w:hAnsi="Verdana"/>
          <w:color w:val="000000" w:themeColor="text1"/>
          <w:sz w:val="20"/>
          <w:szCs w:val="20"/>
        </w:rPr>
        <w:t xml:space="preserve">, per il </w:t>
      </w:r>
      <w:r w:rsidR="009D49DA" w:rsidRPr="00F10358">
        <w:rPr>
          <w:rFonts w:ascii="Verdana" w:hAnsi="Verdana"/>
          <w:color w:val="000000" w:themeColor="text1"/>
          <w:sz w:val="20"/>
          <w:szCs w:val="20"/>
        </w:rPr>
        <w:t>CISS</w:t>
      </w:r>
      <w:r w:rsidR="009D49DA">
        <w:rPr>
          <w:rFonts w:ascii="Verdana" w:hAnsi="Verdana"/>
          <w:color w:val="000000" w:themeColor="text1"/>
          <w:sz w:val="20"/>
          <w:szCs w:val="20"/>
        </w:rPr>
        <w:t xml:space="preserve"> e i </w:t>
      </w:r>
      <w:r w:rsidR="002E4EDF">
        <w:rPr>
          <w:rFonts w:ascii="Verdana" w:hAnsi="Verdana"/>
          <w:color w:val="000000" w:themeColor="text1"/>
          <w:sz w:val="20"/>
          <w:szCs w:val="20"/>
        </w:rPr>
        <w:t>co</w:t>
      </w:r>
      <w:r w:rsidR="009D49DA">
        <w:rPr>
          <w:rFonts w:ascii="Verdana" w:hAnsi="Verdana"/>
          <w:color w:val="000000" w:themeColor="text1"/>
          <w:sz w:val="20"/>
          <w:szCs w:val="20"/>
        </w:rPr>
        <w:t xml:space="preserve">rrelati consorziati, </w:t>
      </w:r>
      <w:r w:rsidR="002A5E6C" w:rsidRPr="00F10358">
        <w:rPr>
          <w:rFonts w:ascii="Verdana" w:hAnsi="Verdana"/>
          <w:color w:val="000000" w:themeColor="text1"/>
          <w:sz w:val="20"/>
          <w:szCs w:val="20"/>
        </w:rPr>
        <w:t>si limita al capitale conferito quale socio fondatore, senza il rischio di perdite correnti</w:t>
      </w:r>
      <w:r w:rsidR="00B52BDC" w:rsidRPr="00F10358">
        <w:rPr>
          <w:rFonts w:ascii="Verdana" w:hAnsi="Verdana"/>
          <w:color w:val="000000" w:themeColor="text1"/>
          <w:sz w:val="20"/>
          <w:szCs w:val="20"/>
        </w:rPr>
        <w:t xml:space="preserve">, in quanto viene assicurato al Consorzio un determinato </w:t>
      </w:r>
      <w:r w:rsidR="00B52BDC" w:rsidRPr="00F10358">
        <w:rPr>
          <w:rFonts w:ascii="Verdana" w:hAnsi="Verdana"/>
          <w:i/>
          <w:color w:val="000000" w:themeColor="text1"/>
          <w:sz w:val="20"/>
          <w:szCs w:val="20"/>
        </w:rPr>
        <w:t>cash flow</w:t>
      </w:r>
      <w:r w:rsidR="00676B11">
        <w:rPr>
          <w:rFonts w:ascii="Verdana" w:hAnsi="Verdana"/>
          <w:color w:val="000000" w:themeColor="text1"/>
          <w:sz w:val="20"/>
          <w:szCs w:val="20"/>
        </w:rPr>
        <w:t>.</w:t>
      </w:r>
    </w:p>
    <w:p w:rsidR="007C1509" w:rsidRPr="00F10358" w:rsidRDefault="007319D5" w:rsidP="003020BA">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In termini d</w:t>
      </w:r>
      <w:r w:rsidR="007E5A36" w:rsidRPr="00F10358">
        <w:rPr>
          <w:rFonts w:ascii="Verdana" w:hAnsi="Verdana"/>
          <w:color w:val="000000" w:themeColor="text1"/>
          <w:sz w:val="20"/>
          <w:szCs w:val="20"/>
        </w:rPr>
        <w:t>i costi “organizzativi”</w:t>
      </w:r>
      <w:r w:rsidR="00023BBD" w:rsidRPr="00F10358">
        <w:rPr>
          <w:rFonts w:ascii="Verdana" w:hAnsi="Verdana"/>
          <w:color w:val="000000" w:themeColor="text1"/>
          <w:sz w:val="20"/>
          <w:szCs w:val="20"/>
        </w:rPr>
        <w:t xml:space="preserve"> si osserva qu</w:t>
      </w:r>
      <w:r w:rsidR="007C1509" w:rsidRPr="00F10358">
        <w:rPr>
          <w:rFonts w:ascii="Verdana" w:hAnsi="Verdana"/>
          <w:color w:val="000000" w:themeColor="text1"/>
          <w:sz w:val="20"/>
          <w:szCs w:val="20"/>
        </w:rPr>
        <w:t>anto segue.</w:t>
      </w:r>
    </w:p>
    <w:p w:rsidR="004B4620" w:rsidRPr="00F10358" w:rsidRDefault="004B4620" w:rsidP="004B4620">
      <w:pPr>
        <w:shd w:val="clear" w:color="auto" w:fill="FEFFFF"/>
        <w:spacing w:line="360" w:lineRule="auto"/>
        <w:ind w:firstLine="354"/>
        <w:jc w:val="both"/>
        <w:outlineLvl w:val="0"/>
        <w:rPr>
          <w:rFonts w:ascii="Verdana" w:hAnsi="Verdana"/>
          <w:bCs/>
          <w:color w:val="000000" w:themeColor="text1"/>
          <w:sz w:val="20"/>
          <w:szCs w:val="20"/>
        </w:rPr>
      </w:pPr>
    </w:p>
    <w:p w:rsidR="004B4620" w:rsidRPr="00F10358" w:rsidRDefault="004B4620" w:rsidP="004B4620">
      <w:pPr>
        <w:shd w:val="clear" w:color="auto" w:fill="FEFFFF"/>
        <w:spacing w:line="360" w:lineRule="auto"/>
        <w:ind w:firstLine="354"/>
        <w:jc w:val="both"/>
        <w:outlineLvl w:val="0"/>
        <w:rPr>
          <w:rFonts w:ascii="Verdana" w:eastAsia="Verdana" w:hAnsi="Verdana" w:cs="Verdana"/>
          <w:b/>
          <w:bCs/>
          <w:color w:val="000000" w:themeColor="text1"/>
          <w:sz w:val="20"/>
          <w:szCs w:val="20"/>
        </w:rPr>
      </w:pPr>
      <w:r w:rsidRPr="00F10358">
        <w:rPr>
          <w:rFonts w:ascii="Verdana" w:hAnsi="Verdana"/>
          <w:bCs/>
          <w:color w:val="000000" w:themeColor="text1"/>
          <w:sz w:val="20"/>
          <w:szCs w:val="20"/>
        </w:rPr>
        <w:t>Tabella B.</w:t>
      </w:r>
      <w:r w:rsidRPr="00F10358">
        <w:rPr>
          <w:rFonts w:ascii="Verdana" w:hAnsi="Verdana"/>
          <w:b/>
          <w:bCs/>
          <w:color w:val="000000" w:themeColor="text1"/>
          <w:sz w:val="20"/>
          <w:szCs w:val="20"/>
        </w:rPr>
        <w:t xml:space="preserve"> </w:t>
      </w:r>
      <w:r w:rsidRPr="00F10358">
        <w:rPr>
          <w:rFonts w:ascii="Verdana" w:hAnsi="Verdana"/>
          <w:color w:val="000000" w:themeColor="text1"/>
          <w:sz w:val="20"/>
          <w:szCs w:val="20"/>
        </w:rPr>
        <w:t xml:space="preserve">Fonte. Relazione del </w:t>
      </w:r>
      <w:r w:rsidR="00CB42CF">
        <w:rPr>
          <w:rFonts w:ascii="Verdana" w:hAnsi="Verdana"/>
          <w:color w:val="000000" w:themeColor="text1"/>
          <w:sz w:val="20"/>
          <w:szCs w:val="20"/>
        </w:rPr>
        <w:t>D</w:t>
      </w:r>
      <w:r w:rsidRPr="00F10358">
        <w:rPr>
          <w:rFonts w:ascii="Verdana" w:hAnsi="Verdana"/>
          <w:color w:val="000000" w:themeColor="text1"/>
          <w:sz w:val="20"/>
          <w:szCs w:val="20"/>
        </w:rPr>
        <w:t>irettore generale/Presidente Cda del CISS</w:t>
      </w:r>
    </w:p>
    <w:tbl>
      <w:tblPr>
        <w:tblW w:w="9347" w:type="dxa"/>
        <w:tblInd w:w="70" w:type="dxa"/>
        <w:tblCellMar>
          <w:left w:w="70" w:type="dxa"/>
          <w:right w:w="70" w:type="dxa"/>
        </w:tblCellMar>
        <w:tblLook w:val="04A0" w:firstRow="1" w:lastRow="0" w:firstColumn="1" w:lastColumn="0" w:noHBand="0" w:noVBand="1"/>
      </w:tblPr>
      <w:tblGrid>
        <w:gridCol w:w="1293"/>
        <w:gridCol w:w="839"/>
        <w:gridCol w:w="823"/>
        <w:gridCol w:w="799"/>
        <w:gridCol w:w="799"/>
        <w:gridCol w:w="799"/>
        <w:gridCol w:w="799"/>
        <w:gridCol w:w="799"/>
        <w:gridCol w:w="799"/>
        <w:gridCol w:w="799"/>
        <w:gridCol w:w="799"/>
      </w:tblGrid>
      <w:tr w:rsidR="004B4620" w:rsidRPr="00F63A96" w:rsidTr="00173071">
        <w:trPr>
          <w:trHeight w:val="360"/>
        </w:trPr>
        <w:tc>
          <w:tcPr>
            <w:tcW w:w="129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000000" w:themeColor="text1"/>
                <w:bdr w:val="none" w:sz="0" w:space="0" w:color="auto"/>
                <w:lang w:eastAsia="it-IT"/>
              </w:rPr>
            </w:pPr>
            <w:r w:rsidRPr="00F63A96">
              <w:rPr>
                <w:rFonts w:ascii="Calibri" w:eastAsia="Times New Roman" w:hAnsi="Calibri" w:cs="Times New Roman"/>
                <w:color w:val="000000" w:themeColor="text1"/>
                <w:bdr w:val="none" w:sz="0" w:space="0" w:color="auto"/>
                <w:lang w:eastAsia="it-IT"/>
              </w:rPr>
              <w:t> </w:t>
            </w:r>
          </w:p>
        </w:tc>
        <w:tc>
          <w:tcPr>
            <w:tcW w:w="8054" w:type="dxa"/>
            <w:gridSpan w:val="10"/>
            <w:tcBorders>
              <w:top w:val="single" w:sz="4" w:space="0" w:color="auto"/>
              <w:left w:val="nil"/>
              <w:bottom w:val="single" w:sz="8" w:space="0" w:color="auto"/>
              <w:right w:val="single" w:sz="4" w:space="0" w:color="000000"/>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000000" w:themeColor="text1"/>
                <w:bdr w:val="none" w:sz="0" w:space="0" w:color="auto"/>
                <w:lang w:eastAsia="it-IT"/>
              </w:rPr>
            </w:pPr>
            <w:r w:rsidRPr="00F63A96">
              <w:rPr>
                <w:rFonts w:ascii="Calibri" w:eastAsia="Times New Roman" w:cs="Times New Roman"/>
                <w:color w:val="000000" w:themeColor="text1"/>
                <w:bdr w:val="none" w:sz="0" w:space="0" w:color="auto"/>
                <w:lang w:eastAsia="it-IT"/>
              </w:rPr>
              <w:t xml:space="preserve">Importi in </w:t>
            </w:r>
            <w:r w:rsidRPr="00F63A96">
              <w:rPr>
                <w:rFonts w:ascii="Arial Unicode MS" w:hint="eastAsia"/>
                <w:color w:val="000000" w:themeColor="text1"/>
                <w:bdr w:val="none" w:sz="0" w:space="0" w:color="auto"/>
                <w:lang w:eastAsia="it-IT"/>
              </w:rPr>
              <w:t>€</w:t>
            </w:r>
            <w:r w:rsidRPr="00F63A96">
              <w:rPr>
                <w:rFonts w:ascii="Calibri" w:eastAsia="Times New Roman" w:hAnsi="Calibri" w:cs="Times New Roman"/>
                <w:color w:val="000000" w:themeColor="text1"/>
                <w:bdr w:val="none" w:sz="0" w:space="0" w:color="auto"/>
                <w:lang w:eastAsia="it-IT"/>
              </w:rPr>
              <w:t xml:space="preserve"> /annui</w:t>
            </w:r>
          </w:p>
        </w:tc>
      </w:tr>
      <w:tr w:rsidR="004B4620" w:rsidRPr="00F63A96" w:rsidTr="00173071">
        <w:trPr>
          <w:trHeight w:val="340"/>
        </w:trPr>
        <w:tc>
          <w:tcPr>
            <w:tcW w:w="1293" w:type="dxa"/>
            <w:tcBorders>
              <w:top w:val="nil"/>
              <w:left w:val="single" w:sz="4" w:space="0" w:color="auto"/>
              <w:bottom w:val="single" w:sz="8"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color w:val="000000" w:themeColor="text1"/>
                <w:sz w:val="20"/>
                <w:szCs w:val="20"/>
                <w:bdr w:val="none" w:sz="0" w:space="0" w:color="auto"/>
                <w:lang w:eastAsia="it-IT"/>
              </w:rPr>
            </w:pPr>
            <w:r w:rsidRPr="00F63A96">
              <w:rPr>
                <w:rFonts w:ascii="Calibri" w:eastAsia="Times New Roman" w:hAnsi="Helvetica" w:cs="Times New Roman"/>
                <w:b/>
                <w:color w:val="000000" w:themeColor="text1"/>
                <w:sz w:val="20"/>
                <w:szCs w:val="20"/>
                <w:bdr w:val="none" w:sz="0" w:space="0" w:color="auto"/>
                <w:lang w:eastAsia="it-IT"/>
              </w:rPr>
              <w:t>CISS</w:t>
            </w:r>
          </w:p>
        </w:tc>
        <w:tc>
          <w:tcPr>
            <w:tcW w:w="83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2005</w:t>
            </w:r>
          </w:p>
        </w:tc>
        <w:tc>
          <w:tcPr>
            <w:tcW w:w="823"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2006</w:t>
            </w:r>
          </w:p>
        </w:tc>
        <w:tc>
          <w:tcPr>
            <w:tcW w:w="79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2007</w:t>
            </w:r>
          </w:p>
        </w:tc>
        <w:tc>
          <w:tcPr>
            <w:tcW w:w="79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2008</w:t>
            </w:r>
          </w:p>
        </w:tc>
        <w:tc>
          <w:tcPr>
            <w:tcW w:w="79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2009</w:t>
            </w:r>
          </w:p>
        </w:tc>
        <w:tc>
          <w:tcPr>
            <w:tcW w:w="79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2010</w:t>
            </w:r>
          </w:p>
        </w:tc>
        <w:tc>
          <w:tcPr>
            <w:tcW w:w="79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2011</w:t>
            </w:r>
          </w:p>
        </w:tc>
        <w:tc>
          <w:tcPr>
            <w:tcW w:w="79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2012</w:t>
            </w:r>
          </w:p>
        </w:tc>
        <w:tc>
          <w:tcPr>
            <w:tcW w:w="79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2013</w:t>
            </w:r>
          </w:p>
        </w:tc>
        <w:tc>
          <w:tcPr>
            <w:tcW w:w="799" w:type="dxa"/>
            <w:tcBorders>
              <w:top w:val="nil"/>
              <w:left w:val="nil"/>
              <w:bottom w:val="single" w:sz="8"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b/>
                <w:color w:val="000000" w:themeColor="text1"/>
                <w:bdr w:val="none" w:sz="0" w:space="0" w:color="auto"/>
                <w:lang w:eastAsia="it-IT"/>
              </w:rPr>
            </w:pPr>
            <w:r w:rsidRPr="00F63A96">
              <w:rPr>
                <w:rFonts w:ascii="Calibri" w:eastAsia="Times New Roman" w:cs="Times New Roman"/>
                <w:b/>
                <w:color w:val="000000" w:themeColor="text1"/>
                <w:bdr w:val="none" w:sz="0" w:space="0" w:color="auto"/>
                <w:lang w:eastAsia="it-IT"/>
              </w:rPr>
              <w:t>2014</w:t>
            </w:r>
          </w:p>
        </w:tc>
      </w:tr>
      <w:tr w:rsidR="004B4620" w:rsidRPr="00F63A96" w:rsidTr="00173071">
        <w:trPr>
          <w:trHeight w:val="340"/>
        </w:trPr>
        <w:tc>
          <w:tcPr>
            <w:tcW w:w="1293" w:type="dxa"/>
            <w:tcBorders>
              <w:top w:val="nil"/>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000000" w:themeColor="text1"/>
                <w:sz w:val="20"/>
                <w:szCs w:val="20"/>
                <w:bdr w:val="none" w:sz="0" w:space="0" w:color="auto"/>
                <w:lang w:eastAsia="it-IT"/>
              </w:rPr>
            </w:pPr>
            <w:r w:rsidRPr="00F63A96">
              <w:rPr>
                <w:rFonts w:ascii="Calibri" w:eastAsia="Times New Roman" w:hAnsi="Helvetica" w:cs="Times New Roman"/>
                <w:b/>
                <w:bCs/>
                <w:color w:val="000000" w:themeColor="text1"/>
                <w:sz w:val="20"/>
                <w:szCs w:val="20"/>
                <w:bdr w:val="none" w:sz="0" w:space="0" w:color="auto"/>
                <w:lang w:eastAsia="it-IT"/>
              </w:rPr>
              <w:t>Utile netto</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130.000</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-47.764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24.992</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102.218</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77.247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45.397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47.617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8.264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32.253</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703</w:t>
            </w:r>
          </w:p>
        </w:tc>
      </w:tr>
      <w:tr w:rsidR="004B4620" w:rsidRPr="00F63A96" w:rsidTr="00173071">
        <w:trPr>
          <w:trHeight w:val="320"/>
        </w:trPr>
        <w:tc>
          <w:tcPr>
            <w:tcW w:w="129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000000" w:themeColor="text1"/>
                <w:sz w:val="20"/>
                <w:szCs w:val="20"/>
                <w:bdr w:val="none" w:sz="0" w:space="0" w:color="auto"/>
                <w:lang w:eastAsia="it-IT"/>
              </w:rPr>
            </w:pPr>
            <w:r w:rsidRPr="00F63A96">
              <w:rPr>
                <w:rFonts w:ascii="Calibri" w:eastAsia="Times New Roman" w:hAnsi="Helvetica" w:cs="Times New Roman"/>
                <w:b/>
                <w:bCs/>
                <w:color w:val="000000" w:themeColor="text1"/>
                <w:sz w:val="20"/>
                <w:szCs w:val="20"/>
                <w:bdr w:val="none" w:sz="0" w:space="0" w:color="auto"/>
                <w:lang w:eastAsia="it-IT"/>
              </w:rPr>
              <w:t>Utile lordo</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139.379</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-47.764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40.843</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154.479</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110.636</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45.397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72.524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15.820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32.253</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703</w:t>
            </w:r>
          </w:p>
        </w:tc>
      </w:tr>
      <w:tr w:rsidR="004B4620" w:rsidRPr="00F63A96" w:rsidTr="00173071">
        <w:trPr>
          <w:trHeight w:val="320"/>
        </w:trPr>
        <w:tc>
          <w:tcPr>
            <w:tcW w:w="1293" w:type="dxa"/>
            <w:tcBorders>
              <w:top w:val="nil"/>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000000" w:themeColor="text1"/>
                <w:sz w:val="20"/>
                <w:szCs w:val="20"/>
                <w:bdr w:val="none" w:sz="0" w:space="0" w:color="auto"/>
                <w:lang w:eastAsia="it-IT"/>
              </w:rPr>
            </w:pPr>
            <w:r w:rsidRPr="00F63A96">
              <w:rPr>
                <w:rFonts w:ascii="Calibri" w:eastAsia="Times New Roman" w:hAnsi="Helvetica" w:cs="Times New Roman"/>
                <w:b/>
                <w:bCs/>
                <w:color w:val="000000" w:themeColor="text1"/>
                <w:sz w:val="20"/>
                <w:szCs w:val="20"/>
                <w:bdr w:val="none" w:sz="0" w:space="0" w:color="auto"/>
                <w:lang w:eastAsia="it-IT"/>
              </w:rPr>
              <w:lastRenderedPageBreak/>
              <w:t>Ricavi*</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171.080</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5.100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116.667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233.337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258.173</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233.334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174.657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220.184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75.846</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67.350</w:t>
            </w:r>
          </w:p>
        </w:tc>
      </w:tr>
      <w:tr w:rsidR="004B4620" w:rsidRPr="00F63A96" w:rsidTr="00173071">
        <w:trPr>
          <w:trHeight w:val="320"/>
        </w:trPr>
        <w:tc>
          <w:tcPr>
            <w:tcW w:w="1293" w:type="dxa"/>
            <w:tcBorders>
              <w:top w:val="nil"/>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000000" w:themeColor="text1"/>
                <w:sz w:val="20"/>
                <w:szCs w:val="20"/>
                <w:bdr w:val="none" w:sz="0" w:space="0" w:color="auto"/>
                <w:lang w:eastAsia="it-IT"/>
              </w:rPr>
            </w:pPr>
            <w:proofErr w:type="gramStart"/>
            <w:r w:rsidRPr="00F63A96">
              <w:rPr>
                <w:rFonts w:ascii="Calibri" w:eastAsia="Times New Roman" w:hAnsi="Helvetica" w:cs="Times New Roman"/>
                <w:b/>
                <w:bCs/>
                <w:color w:val="000000" w:themeColor="text1"/>
                <w:sz w:val="20"/>
                <w:szCs w:val="20"/>
                <w:bdr w:val="none" w:sz="0" w:space="0" w:color="auto"/>
                <w:lang w:eastAsia="it-IT"/>
              </w:rPr>
              <w:t>costi</w:t>
            </w:r>
            <w:proofErr w:type="gramEnd"/>
            <w:r w:rsidRPr="00F63A96">
              <w:rPr>
                <w:rFonts w:ascii="Calibri" w:eastAsia="Times New Roman" w:hAnsi="Helvetica" w:cs="Times New Roman"/>
                <w:b/>
                <w:bCs/>
                <w:color w:val="000000" w:themeColor="text1"/>
                <w:sz w:val="20"/>
                <w:szCs w:val="20"/>
                <w:bdr w:val="none" w:sz="0" w:space="0" w:color="auto"/>
                <w:lang w:eastAsia="it-IT"/>
              </w:rPr>
              <w:t xml:space="preserve"> </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31.149</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10.699</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75.045</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78.857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147.539</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187.936</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193.906</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61.428</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121.344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149.110</w:t>
            </w:r>
          </w:p>
        </w:tc>
      </w:tr>
      <w:tr w:rsidR="004B4620" w:rsidRPr="00F63A96" w:rsidTr="00173071">
        <w:trPr>
          <w:trHeight w:val="320"/>
        </w:trPr>
        <w:tc>
          <w:tcPr>
            <w:tcW w:w="1293" w:type="dxa"/>
            <w:tcBorders>
              <w:top w:val="nil"/>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i/>
                <w:iCs/>
                <w:color w:val="000000" w:themeColor="text1"/>
                <w:sz w:val="15"/>
                <w:szCs w:val="15"/>
                <w:bdr w:val="none" w:sz="0" w:space="0" w:color="auto"/>
                <w:lang w:eastAsia="it-IT"/>
              </w:rPr>
            </w:pPr>
            <w:proofErr w:type="gramStart"/>
            <w:r w:rsidRPr="00F63A96">
              <w:rPr>
                <w:rFonts w:ascii="Calibri" w:eastAsia="Times New Roman" w:hAnsi="Helvetica" w:cs="Times New Roman"/>
                <w:i/>
                <w:iCs/>
                <w:color w:val="000000" w:themeColor="text1"/>
                <w:sz w:val="15"/>
                <w:szCs w:val="20"/>
                <w:bdr w:val="none" w:sz="0" w:space="0" w:color="auto"/>
                <w:lang w:eastAsia="it-IT"/>
              </w:rPr>
              <w:t>da</w:t>
            </w:r>
            <w:proofErr w:type="gramEnd"/>
            <w:r w:rsidRPr="00F63A96">
              <w:rPr>
                <w:rFonts w:ascii="Calibri" w:eastAsia="Times New Roman" w:hAnsi="Helvetica" w:cs="Times New Roman"/>
                <w:i/>
                <w:iCs/>
                <w:color w:val="000000" w:themeColor="text1"/>
                <w:sz w:val="15"/>
                <w:szCs w:val="20"/>
                <w:bdr w:val="none" w:sz="0" w:space="0" w:color="auto"/>
                <w:lang w:eastAsia="it-IT"/>
              </w:rPr>
              <w:t xml:space="preserve"> progetti**</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44.380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81.250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96.000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120.000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90.000</w:t>
            </w:r>
          </w:p>
        </w:tc>
      </w:tr>
      <w:tr w:rsidR="004B4620" w:rsidRPr="00F63A96" w:rsidTr="00173071">
        <w:trPr>
          <w:trHeight w:val="320"/>
        </w:trPr>
        <w:tc>
          <w:tcPr>
            <w:tcW w:w="1293" w:type="dxa"/>
            <w:tcBorders>
              <w:top w:val="nil"/>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i/>
                <w:iCs/>
                <w:color w:val="000000" w:themeColor="text1"/>
                <w:sz w:val="15"/>
                <w:szCs w:val="15"/>
                <w:bdr w:val="none" w:sz="0" w:space="0" w:color="auto"/>
                <w:lang w:eastAsia="it-IT"/>
              </w:rPr>
            </w:pPr>
            <w:r w:rsidRPr="00F63A96">
              <w:rPr>
                <w:rFonts w:ascii="Calibri" w:eastAsia="Times New Roman" w:hAnsi="Helvetica" w:cs="Times New Roman"/>
                <w:i/>
                <w:iCs/>
                <w:color w:val="000000" w:themeColor="text1"/>
                <w:sz w:val="15"/>
                <w:szCs w:val="20"/>
                <w:bdr w:val="none" w:sz="0" w:space="0" w:color="auto"/>
                <w:lang w:eastAsia="it-IT"/>
              </w:rPr>
              <w:t>Da personale***</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32.608</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42.692</w:t>
            </w:r>
          </w:p>
        </w:tc>
      </w:tr>
      <w:tr w:rsidR="004B4620" w:rsidRPr="00F63A96" w:rsidTr="00173071">
        <w:trPr>
          <w:trHeight w:val="400"/>
        </w:trPr>
        <w:tc>
          <w:tcPr>
            <w:tcW w:w="1293" w:type="dxa"/>
            <w:tcBorders>
              <w:top w:val="nil"/>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i/>
                <w:iCs/>
                <w:color w:val="000000" w:themeColor="text1"/>
                <w:sz w:val="13"/>
                <w:szCs w:val="13"/>
                <w:bdr w:val="none" w:sz="0" w:space="0" w:color="auto"/>
                <w:lang w:eastAsia="it-IT"/>
              </w:rPr>
            </w:pPr>
            <w:proofErr w:type="gramStart"/>
            <w:r w:rsidRPr="00F63A96">
              <w:rPr>
                <w:rFonts w:ascii="Calibri" w:eastAsia="Times New Roman" w:hAnsi="Helvetica" w:cs="Times New Roman"/>
                <w:i/>
                <w:iCs/>
                <w:color w:val="000000" w:themeColor="text1"/>
                <w:sz w:val="13"/>
                <w:szCs w:val="20"/>
                <w:bdr w:val="none" w:sz="0" w:space="0" w:color="auto"/>
                <w:lang w:eastAsia="it-IT"/>
              </w:rPr>
              <w:t>funzionamento</w:t>
            </w:r>
            <w:proofErr w:type="gramEnd"/>
            <w:r w:rsidRPr="00F63A96">
              <w:rPr>
                <w:rFonts w:ascii="Calibri" w:eastAsia="Times New Roman" w:hAnsi="Helvetica" w:cs="Times New Roman"/>
                <w:i/>
                <w:iCs/>
                <w:color w:val="000000" w:themeColor="text1"/>
                <w:sz w:val="13"/>
                <w:szCs w:val="20"/>
                <w:bdr w:val="none" w:sz="0" w:space="0" w:color="auto"/>
                <w:lang w:eastAsia="it-IT"/>
              </w:rPr>
              <w:t xml:space="preserve"> organi sociali</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51.500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68.358</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49.494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59.946</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75.697</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34.944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35.564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26.898</w:t>
            </w:r>
          </w:p>
        </w:tc>
      </w:tr>
      <w:tr w:rsidR="004B4620" w:rsidRPr="00F63A96" w:rsidTr="00173071">
        <w:trPr>
          <w:trHeight w:val="320"/>
        </w:trPr>
        <w:tc>
          <w:tcPr>
            <w:tcW w:w="1293" w:type="dxa"/>
            <w:tcBorders>
              <w:top w:val="nil"/>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i/>
                <w:iCs/>
                <w:color w:val="000000" w:themeColor="text1"/>
                <w:sz w:val="13"/>
                <w:szCs w:val="13"/>
                <w:bdr w:val="none" w:sz="0" w:space="0" w:color="auto"/>
                <w:lang w:eastAsia="it-IT"/>
              </w:rPr>
            </w:pPr>
            <w:proofErr w:type="gramStart"/>
            <w:r w:rsidRPr="00F63A96">
              <w:rPr>
                <w:rFonts w:ascii="Calibri" w:eastAsia="Times New Roman" w:hAnsi="Helvetica" w:cs="Times New Roman"/>
                <w:i/>
                <w:iCs/>
                <w:color w:val="000000" w:themeColor="text1"/>
                <w:sz w:val="13"/>
                <w:szCs w:val="20"/>
                <w:bdr w:val="none" w:sz="0" w:space="0" w:color="auto"/>
                <w:lang w:eastAsia="it-IT"/>
              </w:rPr>
              <w:t>altri</w:t>
            </w:r>
            <w:proofErr w:type="gramEnd"/>
            <w:r w:rsidRPr="00F63A96">
              <w:rPr>
                <w:rFonts w:ascii="Calibri" w:eastAsia="Times New Roman" w:hAnsi="Helvetica" w:cs="Times New Roman"/>
                <w:i/>
                <w:iCs/>
                <w:color w:val="000000" w:themeColor="text1"/>
                <w:sz w:val="13"/>
                <w:szCs w:val="20"/>
                <w:bdr w:val="none" w:sz="0" w:space="0" w:color="auto"/>
                <w:lang w:eastAsia="it-IT"/>
              </w:rPr>
              <w:t xml:space="preserve"> costi</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31.149</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10.699</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23.545</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11.499</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53.665</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46.740</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50.501</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26.484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53.172</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79.520</w:t>
            </w:r>
          </w:p>
        </w:tc>
      </w:tr>
      <w:tr w:rsidR="004B4620" w:rsidRPr="00F63A96" w:rsidTr="00173071">
        <w:trPr>
          <w:trHeight w:val="320"/>
        </w:trPr>
        <w:tc>
          <w:tcPr>
            <w:tcW w:w="1293" w:type="dxa"/>
            <w:tcBorders>
              <w:top w:val="nil"/>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000000" w:themeColor="text1"/>
                <w:sz w:val="20"/>
                <w:szCs w:val="20"/>
                <w:bdr w:val="none" w:sz="0" w:space="0" w:color="auto"/>
                <w:lang w:eastAsia="it-IT"/>
              </w:rPr>
            </w:pPr>
            <w:r w:rsidRPr="00F63A96">
              <w:rPr>
                <w:rFonts w:ascii="Calibri" w:eastAsia="Times New Roman" w:hAnsi="Helvetica" w:cs="Times New Roman"/>
                <w:b/>
                <w:bCs/>
                <w:iCs/>
                <w:color w:val="000000" w:themeColor="text1"/>
                <w:sz w:val="20"/>
                <w:szCs w:val="20"/>
                <w:bdr w:val="none" w:sz="0" w:space="0" w:color="auto"/>
                <w:lang w:eastAsia="it-IT"/>
              </w:rPr>
              <w:t>MOL</w:t>
            </w:r>
          </w:p>
        </w:tc>
        <w:tc>
          <w:tcPr>
            <w:tcW w:w="83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139.931</w:t>
            </w:r>
          </w:p>
        </w:tc>
        <w:tc>
          <w:tcPr>
            <w:tcW w:w="823"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-4.742</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41.528</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155.165</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111.831</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46.114</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-18.755</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159.001</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-44.839</w:t>
            </w:r>
          </w:p>
        </w:tc>
        <w:tc>
          <w:tcPr>
            <w:tcW w:w="799" w:type="dxa"/>
            <w:tcBorders>
              <w:top w:val="nil"/>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-80.816</w:t>
            </w:r>
          </w:p>
        </w:tc>
      </w:tr>
      <w:tr w:rsidR="004B4620" w:rsidRPr="00F63A96" w:rsidTr="00173071">
        <w:trPr>
          <w:trHeight w:val="320"/>
        </w:trPr>
        <w:tc>
          <w:tcPr>
            <w:tcW w:w="129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000000" w:themeColor="text1"/>
                <w:sz w:val="20"/>
                <w:szCs w:val="20"/>
                <w:bdr w:val="none" w:sz="0" w:space="0" w:color="auto"/>
                <w:lang w:eastAsia="it-IT"/>
              </w:rPr>
            </w:pPr>
            <w:r w:rsidRPr="00F63A96">
              <w:rPr>
                <w:rFonts w:ascii="Calibri" w:eastAsia="Times New Roman" w:hAnsi="Helvetica" w:cs="Times New Roman"/>
                <w:b/>
                <w:bCs/>
                <w:iCs/>
                <w:color w:val="000000" w:themeColor="text1"/>
                <w:sz w:val="20"/>
                <w:szCs w:val="20"/>
                <w:bdr w:val="none" w:sz="0" w:space="0" w:color="auto"/>
                <w:lang w:eastAsia="it-IT"/>
              </w:rPr>
              <w:t>ROGC</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139.331</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-5.599</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40.843</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154.634</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110.634</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45.398</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-19.245</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158.756</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-45.498</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4B4620" w:rsidRPr="00F63A96" w:rsidRDefault="004B4620" w:rsidP="001730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000000" w:themeColor="text1"/>
                <w:sz w:val="18"/>
                <w:szCs w:val="20"/>
                <w:bdr w:val="none" w:sz="0" w:space="0" w:color="auto"/>
                <w:lang w:eastAsia="it-IT"/>
              </w:rPr>
            </w:pPr>
            <w:r w:rsidRPr="00F63A96">
              <w:rPr>
                <w:rFonts w:ascii="Calibri" w:eastAsia="Times New Roman" w:hAnsi="Calibri" w:cs="Times New Roman"/>
                <w:color w:val="000000" w:themeColor="text1"/>
                <w:sz w:val="18"/>
                <w:szCs w:val="20"/>
                <w:bdr w:val="none" w:sz="0" w:space="0" w:color="auto"/>
                <w:lang w:eastAsia="it-IT"/>
              </w:rPr>
              <w:t>-81.760</w:t>
            </w:r>
          </w:p>
        </w:tc>
      </w:tr>
    </w:tbl>
    <w:p w:rsidR="004B4620" w:rsidRPr="00F63A96" w:rsidRDefault="004B4620" w:rsidP="004B4620">
      <w:pPr>
        <w:shd w:val="clear" w:color="auto" w:fill="FEFFFF"/>
        <w:spacing w:line="360" w:lineRule="auto"/>
        <w:ind w:firstLine="354"/>
        <w:jc w:val="both"/>
        <w:rPr>
          <w:rFonts w:ascii="Verdana" w:eastAsia="Verdana" w:hAnsi="Verdana" w:cs="Verdana"/>
          <w:b/>
          <w:bCs/>
          <w:color w:val="000000" w:themeColor="text1"/>
          <w:sz w:val="20"/>
          <w:szCs w:val="20"/>
        </w:rPr>
      </w:pPr>
    </w:p>
    <w:p w:rsidR="004B4620" w:rsidRPr="00F63A96" w:rsidRDefault="004B4620" w:rsidP="004B4620">
      <w:pPr>
        <w:pStyle w:val="Paragrafoelenco"/>
        <w:numPr>
          <w:ilvl w:val="0"/>
          <w:numId w:val="39"/>
        </w:numPr>
        <w:shd w:val="clear" w:color="auto" w:fill="FEFFFF"/>
        <w:spacing w:line="360" w:lineRule="auto"/>
        <w:jc w:val="both"/>
        <w:rPr>
          <w:rFonts w:ascii="Verdana" w:eastAsia="Verdana" w:hAnsi="Verdana" w:cs="Verdana"/>
          <w:b/>
          <w:bCs/>
          <w:color w:val="000000" w:themeColor="text1"/>
          <w:sz w:val="16"/>
          <w:szCs w:val="20"/>
        </w:rPr>
      </w:pPr>
      <w:r w:rsidRPr="00F63A96">
        <w:rPr>
          <w:rFonts w:ascii="Verdana" w:eastAsia="Verdana" w:hAnsi="Verdana" w:cs="Verdana"/>
          <w:b/>
          <w:bCs/>
          <w:color w:val="000000" w:themeColor="text1"/>
          <w:sz w:val="16"/>
          <w:szCs w:val="20"/>
        </w:rPr>
        <w:t xml:space="preserve">Nella tabella i ricavi sono al netto dell’iva e degli utili, normalmente si trovano nella Sezione C5 “proventi da partecipazioni” del C/E del CISS. Sono stati invece inclusi tra i ricavi della tabella M per garantire un’efficace rappresentazione e riclassificazione. Esempio 2014: Ricavi= € 127.967 al netto dell'iva (canoni da contratto di servizio) - € 68.090 al netto dell'iva (nota di credito effettuata a </w:t>
      </w:r>
      <w:proofErr w:type="spellStart"/>
      <w:r w:rsidRPr="00F63A96">
        <w:rPr>
          <w:rFonts w:ascii="Verdana" w:eastAsia="Verdana" w:hAnsi="Verdana" w:cs="Verdana"/>
          <w:b/>
          <w:bCs/>
          <w:color w:val="000000" w:themeColor="text1"/>
          <w:sz w:val="16"/>
          <w:szCs w:val="20"/>
        </w:rPr>
        <w:t>Socigess</w:t>
      </w:r>
      <w:proofErr w:type="spellEnd"/>
      <w:r w:rsidRPr="00F63A96">
        <w:rPr>
          <w:rFonts w:ascii="Verdana" w:eastAsia="Verdana" w:hAnsi="Verdana" w:cs="Verdana"/>
          <w:b/>
          <w:bCs/>
          <w:color w:val="000000" w:themeColor="text1"/>
          <w:sz w:val="16"/>
          <w:szCs w:val="20"/>
        </w:rPr>
        <w:t xml:space="preserve"> S.p.A. per utile di bilancio </w:t>
      </w:r>
      <w:r w:rsidR="003B4079">
        <w:rPr>
          <w:rFonts w:ascii="Verdana" w:eastAsia="Verdana" w:hAnsi="Verdana" w:cs="Verdana"/>
          <w:b/>
          <w:bCs/>
          <w:color w:val="000000" w:themeColor="text1"/>
          <w:sz w:val="16"/>
          <w:szCs w:val="20"/>
        </w:rPr>
        <w:t>INCOFARMA</w:t>
      </w:r>
      <w:r w:rsidRPr="00F63A96">
        <w:rPr>
          <w:rFonts w:ascii="Verdana" w:eastAsia="Verdana" w:hAnsi="Verdana" w:cs="Verdana"/>
          <w:b/>
          <w:bCs/>
          <w:color w:val="000000" w:themeColor="text1"/>
          <w:sz w:val="16"/>
          <w:szCs w:val="20"/>
        </w:rPr>
        <w:t xml:space="preserve"> S.p.A. esercizio 2013 distribuito nell'anno 2014) = 59.877 € + € 7.473 (ricavi da sopravvenienze attive d i esercizio) = Totale Valore della Produzione = 67.350 €. L'utile distribuito nell'anno 2014 da </w:t>
      </w:r>
      <w:r w:rsidR="003B4079">
        <w:rPr>
          <w:rFonts w:ascii="Verdana" w:eastAsia="Verdana" w:hAnsi="Verdana" w:cs="Verdana"/>
          <w:b/>
          <w:bCs/>
          <w:color w:val="000000" w:themeColor="text1"/>
          <w:sz w:val="16"/>
          <w:szCs w:val="20"/>
        </w:rPr>
        <w:t>INCOFARMA</w:t>
      </w:r>
      <w:r w:rsidRPr="00F63A96">
        <w:rPr>
          <w:rFonts w:ascii="Verdana" w:eastAsia="Verdana" w:hAnsi="Verdana" w:cs="Verdana"/>
          <w:b/>
          <w:bCs/>
          <w:color w:val="000000" w:themeColor="text1"/>
          <w:sz w:val="16"/>
          <w:szCs w:val="20"/>
        </w:rPr>
        <w:t xml:space="preserve"> S.p.A. relativo all'esercizio 2013 è presente nel bilancio C </w:t>
      </w:r>
      <w:proofErr w:type="gramStart"/>
      <w:r w:rsidRPr="00F63A96">
        <w:rPr>
          <w:rFonts w:ascii="Verdana" w:eastAsia="Verdana" w:hAnsi="Verdana" w:cs="Verdana"/>
          <w:b/>
          <w:bCs/>
          <w:color w:val="000000" w:themeColor="text1"/>
          <w:sz w:val="16"/>
          <w:szCs w:val="20"/>
        </w:rPr>
        <w:t>ISS .</w:t>
      </w:r>
      <w:proofErr w:type="gramEnd"/>
      <w:r w:rsidRPr="00F63A96">
        <w:rPr>
          <w:rFonts w:ascii="Verdana" w:eastAsia="Verdana" w:hAnsi="Verdana" w:cs="Verdana"/>
          <w:b/>
          <w:bCs/>
          <w:color w:val="000000" w:themeColor="text1"/>
          <w:sz w:val="16"/>
          <w:szCs w:val="20"/>
        </w:rPr>
        <w:t xml:space="preserve"> 2014 nella sezione "C l5 proventi da partecipazioni" del conto economico ed è pari ad</w:t>
      </w:r>
      <w:r w:rsidR="008D2B0B">
        <w:rPr>
          <w:rFonts w:ascii="Verdana" w:eastAsia="Verdana" w:hAnsi="Verdana" w:cs="Verdana"/>
          <w:b/>
          <w:bCs/>
          <w:color w:val="000000" w:themeColor="text1"/>
          <w:sz w:val="16"/>
          <w:szCs w:val="20"/>
        </w:rPr>
        <w:t xml:space="preserve"> </w:t>
      </w:r>
      <w:r w:rsidRPr="00F63A96">
        <w:rPr>
          <w:rFonts w:ascii="Verdana" w:eastAsia="Verdana" w:hAnsi="Verdana" w:cs="Verdana"/>
          <w:b/>
          <w:bCs/>
          <w:color w:val="000000" w:themeColor="text1"/>
          <w:sz w:val="16"/>
          <w:szCs w:val="20"/>
        </w:rPr>
        <w:t>€ 83.070 che chiaramente non rientra nella voce dei ricavi.</w:t>
      </w:r>
    </w:p>
    <w:p w:rsidR="004B4620" w:rsidRPr="00F63A96" w:rsidRDefault="004B4620" w:rsidP="004B4620">
      <w:pPr>
        <w:shd w:val="clear" w:color="auto" w:fill="FEFFFF"/>
        <w:spacing w:line="360" w:lineRule="auto"/>
        <w:ind w:firstLine="354"/>
        <w:jc w:val="both"/>
        <w:rPr>
          <w:rFonts w:ascii="Verdana" w:eastAsia="Verdana" w:hAnsi="Verdana" w:cs="Verdana"/>
          <w:b/>
          <w:bCs/>
          <w:color w:val="000000" w:themeColor="text1"/>
          <w:sz w:val="16"/>
          <w:szCs w:val="20"/>
        </w:rPr>
      </w:pPr>
      <w:r w:rsidRPr="00F63A96">
        <w:rPr>
          <w:rFonts w:ascii="Verdana" w:eastAsia="Verdana" w:hAnsi="Verdana" w:cs="Verdana"/>
          <w:b/>
          <w:bCs/>
          <w:color w:val="000000" w:themeColor="text1"/>
          <w:sz w:val="16"/>
          <w:szCs w:val="20"/>
        </w:rPr>
        <w:t>** i costi per progetti di € 120.000 ed € 90.000 rispettivamente per l'anno 2013 e 2014 riportati nella "tabella m" sono stati indicati allo scopo di fornire la giusta rappresentazione dei dati ma i suddetti importi sono stati imputati in bilancio al conto "riserve utili non distribuiti negli anni precedenti" e non a costo di esercizio</w:t>
      </w:r>
    </w:p>
    <w:p w:rsidR="004B4620" w:rsidRPr="00F63A96" w:rsidRDefault="004B4620" w:rsidP="004B4620">
      <w:pPr>
        <w:shd w:val="clear" w:color="auto" w:fill="FEFFFF"/>
        <w:spacing w:line="360" w:lineRule="auto"/>
        <w:ind w:firstLine="354"/>
        <w:jc w:val="both"/>
        <w:rPr>
          <w:rFonts w:ascii="Verdana" w:eastAsia="Verdana" w:hAnsi="Verdana" w:cs="Verdana"/>
          <w:b/>
          <w:bCs/>
          <w:color w:val="000000" w:themeColor="text1"/>
          <w:sz w:val="16"/>
          <w:szCs w:val="20"/>
        </w:rPr>
      </w:pPr>
      <w:r w:rsidRPr="00F63A96">
        <w:rPr>
          <w:rFonts w:ascii="Verdana" w:eastAsia="Verdana" w:hAnsi="Verdana" w:cs="Verdana"/>
          <w:b/>
          <w:bCs/>
          <w:color w:val="000000" w:themeColor="text1"/>
          <w:sz w:val="16"/>
          <w:szCs w:val="20"/>
        </w:rPr>
        <w:t>***Numero di dipendenti:</w:t>
      </w:r>
    </w:p>
    <w:p w:rsidR="004B4620" w:rsidRPr="00F63A96" w:rsidRDefault="004B4620" w:rsidP="004B4620">
      <w:pPr>
        <w:shd w:val="clear" w:color="auto" w:fill="FEFFFF"/>
        <w:spacing w:line="360" w:lineRule="auto"/>
        <w:ind w:firstLine="354"/>
        <w:jc w:val="both"/>
        <w:rPr>
          <w:rFonts w:ascii="Verdana" w:eastAsia="Verdana" w:hAnsi="Verdana" w:cs="Verdana"/>
          <w:b/>
          <w:bCs/>
          <w:color w:val="000000" w:themeColor="text1"/>
          <w:sz w:val="16"/>
          <w:szCs w:val="20"/>
        </w:rPr>
      </w:pPr>
      <w:r w:rsidRPr="00F63A96">
        <w:rPr>
          <w:rFonts w:ascii="Verdana" w:eastAsia="Verdana" w:hAnsi="Verdana" w:cs="Verdana"/>
          <w:b/>
          <w:bCs/>
          <w:color w:val="000000" w:themeColor="text1"/>
          <w:sz w:val="16"/>
          <w:szCs w:val="20"/>
        </w:rPr>
        <w:t>- dal 2005 al 19/06/2013 = 0</w:t>
      </w:r>
    </w:p>
    <w:p w:rsidR="004B4620" w:rsidRPr="00F63A96" w:rsidRDefault="004B4620" w:rsidP="004B4620">
      <w:pPr>
        <w:shd w:val="clear" w:color="auto" w:fill="FEFFFF"/>
        <w:spacing w:line="360" w:lineRule="auto"/>
        <w:ind w:firstLine="354"/>
        <w:jc w:val="both"/>
        <w:rPr>
          <w:rFonts w:ascii="Verdana" w:eastAsia="Verdana" w:hAnsi="Verdana" w:cs="Verdana"/>
          <w:b/>
          <w:bCs/>
          <w:color w:val="000000" w:themeColor="text1"/>
          <w:sz w:val="16"/>
          <w:szCs w:val="20"/>
        </w:rPr>
      </w:pPr>
      <w:r w:rsidRPr="00F63A96">
        <w:rPr>
          <w:rFonts w:ascii="Verdana" w:eastAsia="Verdana" w:hAnsi="Verdana" w:cs="Verdana"/>
          <w:b/>
          <w:bCs/>
          <w:color w:val="000000" w:themeColor="text1"/>
          <w:sz w:val="16"/>
          <w:szCs w:val="20"/>
        </w:rPr>
        <w:t>- dal 2006 =1</w:t>
      </w:r>
    </w:p>
    <w:p w:rsidR="004B4620" w:rsidRPr="00F10358" w:rsidRDefault="004B4620" w:rsidP="003D391B">
      <w:pPr>
        <w:shd w:val="clear" w:color="auto" w:fill="FEFFFF"/>
        <w:spacing w:line="360" w:lineRule="auto"/>
        <w:ind w:firstLine="354"/>
        <w:jc w:val="both"/>
        <w:rPr>
          <w:rFonts w:ascii="Verdana" w:hAnsi="Verdana"/>
          <w:color w:val="000000" w:themeColor="text1"/>
          <w:sz w:val="20"/>
          <w:szCs w:val="20"/>
        </w:rPr>
      </w:pPr>
    </w:p>
    <w:p w:rsidR="003D391B" w:rsidRPr="00F10358" w:rsidRDefault="003D391B" w:rsidP="003D391B">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 costi di autoamministrazione del CISS (calcolati per difetto, considerato che se si prendono in considerazione solo i costi di personale e organi sociali) assorbono, dal 2012, tra il 46</w:t>
      </w:r>
      <w:r w:rsidR="0061590D">
        <w:rPr>
          <w:rFonts w:ascii="Verdana" w:hAnsi="Verdana"/>
          <w:color w:val="000000" w:themeColor="text1"/>
          <w:sz w:val="20"/>
          <w:szCs w:val="20"/>
        </w:rPr>
        <w:t>%</w:t>
      </w:r>
      <w:r w:rsidRPr="00F10358">
        <w:rPr>
          <w:rFonts w:ascii="Verdana" w:hAnsi="Verdana"/>
          <w:color w:val="000000" w:themeColor="text1"/>
          <w:sz w:val="20"/>
          <w:szCs w:val="20"/>
        </w:rPr>
        <w:t xml:space="preserve"> e il 56% delle entrate.</w:t>
      </w:r>
    </w:p>
    <w:p w:rsidR="0019133D" w:rsidRPr="00F10358" w:rsidRDefault="0061590D" w:rsidP="003020BA">
      <w:pPr>
        <w:shd w:val="clear" w:color="auto" w:fill="FEFFFF"/>
        <w:spacing w:line="360" w:lineRule="auto"/>
        <w:ind w:firstLine="354"/>
        <w:jc w:val="both"/>
        <w:rPr>
          <w:rFonts w:ascii="Verdana" w:hAnsi="Verdana"/>
          <w:color w:val="000000" w:themeColor="text1"/>
          <w:sz w:val="20"/>
          <w:szCs w:val="20"/>
        </w:rPr>
      </w:pPr>
      <w:r>
        <w:rPr>
          <w:rFonts w:ascii="Verdana" w:hAnsi="Verdana"/>
          <w:color w:val="000000" w:themeColor="text1"/>
          <w:sz w:val="20"/>
          <w:szCs w:val="20"/>
        </w:rPr>
        <w:t>A tale riguardo, come già rilevato</w:t>
      </w:r>
      <w:r w:rsidR="003D391B" w:rsidRPr="00F10358">
        <w:rPr>
          <w:rFonts w:ascii="Verdana" w:hAnsi="Verdana"/>
          <w:color w:val="000000" w:themeColor="text1"/>
          <w:sz w:val="20"/>
          <w:szCs w:val="20"/>
        </w:rPr>
        <w:t>,</w:t>
      </w:r>
      <w:r>
        <w:rPr>
          <w:rFonts w:ascii="Verdana" w:hAnsi="Verdana"/>
          <w:color w:val="000000" w:themeColor="text1"/>
          <w:sz w:val="20"/>
          <w:szCs w:val="20"/>
        </w:rPr>
        <w:t xml:space="preserve"> si evidenzia che</w:t>
      </w:r>
      <w:r w:rsidR="003D391B" w:rsidRPr="00F10358">
        <w:rPr>
          <w:rFonts w:ascii="Verdana" w:hAnsi="Verdana"/>
          <w:color w:val="000000" w:themeColor="text1"/>
          <w:sz w:val="20"/>
          <w:szCs w:val="20"/>
        </w:rPr>
        <w:t xml:space="preserve"> i</w:t>
      </w:r>
      <w:r w:rsidR="00A729EF" w:rsidRPr="00F10358">
        <w:rPr>
          <w:rFonts w:ascii="Verdana" w:hAnsi="Verdana"/>
          <w:color w:val="000000" w:themeColor="text1"/>
          <w:sz w:val="20"/>
          <w:szCs w:val="20"/>
        </w:rPr>
        <w:t>l CISS</w:t>
      </w:r>
      <w:r w:rsidR="007C1509" w:rsidRPr="00F10358">
        <w:rPr>
          <w:rFonts w:ascii="Verdana" w:hAnsi="Verdana"/>
          <w:color w:val="000000" w:themeColor="text1"/>
          <w:sz w:val="20"/>
          <w:szCs w:val="20"/>
        </w:rPr>
        <w:t xml:space="preserve"> </w:t>
      </w:r>
      <w:r w:rsidR="00A65395" w:rsidRPr="00F10358">
        <w:rPr>
          <w:rFonts w:ascii="Verdana" w:hAnsi="Verdana"/>
          <w:color w:val="000000" w:themeColor="text1"/>
          <w:sz w:val="20"/>
          <w:szCs w:val="20"/>
        </w:rPr>
        <w:t xml:space="preserve">– come ha dimostrato l’indagine, anche nella fase ultima del contraddittorio pubblico – </w:t>
      </w:r>
      <w:r w:rsidR="007C1509" w:rsidRPr="00F10358">
        <w:rPr>
          <w:rFonts w:ascii="Verdana" w:hAnsi="Verdana"/>
          <w:color w:val="000000" w:themeColor="text1"/>
          <w:sz w:val="20"/>
          <w:szCs w:val="20"/>
        </w:rPr>
        <w:t>è un organism</w:t>
      </w:r>
      <w:r w:rsidR="0019133D" w:rsidRPr="00F10358">
        <w:rPr>
          <w:rFonts w:ascii="Verdana" w:hAnsi="Verdana"/>
          <w:color w:val="000000" w:themeColor="text1"/>
          <w:sz w:val="20"/>
          <w:szCs w:val="20"/>
        </w:rPr>
        <w:t>o di mera intermediazione</w:t>
      </w:r>
      <w:r w:rsidR="005C35B7" w:rsidRPr="00F10358">
        <w:rPr>
          <w:rFonts w:ascii="Verdana" w:hAnsi="Verdana"/>
          <w:color w:val="000000" w:themeColor="text1"/>
          <w:sz w:val="20"/>
          <w:szCs w:val="20"/>
        </w:rPr>
        <w:t xml:space="preserve"> per la concentrazione delle li</w:t>
      </w:r>
      <w:r w:rsidR="0019133D" w:rsidRPr="00F10358">
        <w:rPr>
          <w:rFonts w:ascii="Verdana" w:hAnsi="Verdana"/>
          <w:color w:val="000000" w:themeColor="text1"/>
          <w:sz w:val="20"/>
          <w:szCs w:val="20"/>
        </w:rPr>
        <w:t xml:space="preserve">cenze farmaceutiche e per la gestione dei diritti amministrativi ed economici in </w:t>
      </w:r>
      <w:r w:rsidR="003B4079">
        <w:rPr>
          <w:rFonts w:ascii="Verdana" w:hAnsi="Verdana"/>
          <w:color w:val="000000" w:themeColor="text1"/>
          <w:sz w:val="20"/>
          <w:szCs w:val="20"/>
        </w:rPr>
        <w:t>INCOFARMA</w:t>
      </w:r>
      <w:r w:rsidR="0019133D" w:rsidRPr="00F10358">
        <w:rPr>
          <w:rFonts w:ascii="Verdana" w:hAnsi="Verdana"/>
          <w:color w:val="000000" w:themeColor="text1"/>
          <w:sz w:val="20"/>
          <w:szCs w:val="20"/>
        </w:rPr>
        <w:t xml:space="preserve">, che costituisce la vera scelta in termini di modulo </w:t>
      </w:r>
      <w:r w:rsidR="005C35B7" w:rsidRPr="00F10358">
        <w:rPr>
          <w:rFonts w:ascii="Verdana" w:hAnsi="Verdana"/>
          <w:color w:val="000000" w:themeColor="text1"/>
          <w:sz w:val="20"/>
          <w:szCs w:val="20"/>
        </w:rPr>
        <w:t>organizzativo</w:t>
      </w:r>
      <w:r w:rsidR="0019133D" w:rsidRPr="00F10358">
        <w:rPr>
          <w:rFonts w:ascii="Verdana" w:hAnsi="Verdana"/>
          <w:color w:val="000000" w:themeColor="text1"/>
          <w:sz w:val="20"/>
          <w:szCs w:val="20"/>
        </w:rPr>
        <w:t xml:space="preserve"> e gestionale delle farmacie </w:t>
      </w:r>
      <w:proofErr w:type="spellStart"/>
      <w:r w:rsidR="0019133D" w:rsidRPr="00F10358">
        <w:rPr>
          <w:rFonts w:ascii="Verdana" w:hAnsi="Verdana"/>
          <w:color w:val="000000" w:themeColor="text1"/>
          <w:sz w:val="20"/>
          <w:szCs w:val="20"/>
        </w:rPr>
        <w:t>prelazionate</w:t>
      </w:r>
      <w:proofErr w:type="spellEnd"/>
      <w:r w:rsidR="0019133D" w:rsidRPr="00F10358">
        <w:rPr>
          <w:rFonts w:ascii="Verdana" w:hAnsi="Verdana"/>
          <w:color w:val="000000" w:themeColor="text1"/>
          <w:sz w:val="20"/>
          <w:szCs w:val="20"/>
        </w:rPr>
        <w:t xml:space="preserve"> dai comuni e di gestione del servizio farmaceutico.</w:t>
      </w:r>
    </w:p>
    <w:p w:rsidR="0006784A" w:rsidRPr="00F10358" w:rsidRDefault="007E5A36" w:rsidP="003020BA">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Del resto</w:t>
      </w:r>
      <w:r w:rsidR="0006784A" w:rsidRPr="00F10358">
        <w:rPr>
          <w:rFonts w:ascii="Verdana" w:hAnsi="Verdana"/>
          <w:color w:val="000000" w:themeColor="text1"/>
          <w:sz w:val="20"/>
          <w:szCs w:val="20"/>
        </w:rPr>
        <w:t xml:space="preserve">, come evidenziato dalla magistratura amministrativa, in sede contenziosa, è la scelta di adesione al CISS che implica </w:t>
      </w:r>
      <w:r w:rsidRPr="00F10358">
        <w:rPr>
          <w:rFonts w:ascii="Verdana" w:hAnsi="Verdana"/>
          <w:i/>
          <w:color w:val="000000" w:themeColor="text1"/>
          <w:sz w:val="20"/>
          <w:szCs w:val="20"/>
        </w:rPr>
        <w:t>ex se</w:t>
      </w:r>
      <w:r w:rsidRPr="00F10358">
        <w:rPr>
          <w:rFonts w:ascii="Verdana" w:hAnsi="Verdana"/>
          <w:color w:val="000000" w:themeColor="text1"/>
          <w:sz w:val="20"/>
          <w:szCs w:val="20"/>
        </w:rPr>
        <w:t xml:space="preserve"> </w:t>
      </w:r>
      <w:r w:rsidR="0006784A" w:rsidRPr="00F10358">
        <w:rPr>
          <w:rFonts w:ascii="Verdana" w:hAnsi="Verdana"/>
          <w:color w:val="000000" w:themeColor="text1"/>
          <w:sz w:val="20"/>
          <w:szCs w:val="20"/>
        </w:rPr>
        <w:t xml:space="preserve">il modulo organizzativo “gestione con società mista”, senza soluzione di </w:t>
      </w:r>
      <w:r w:rsidR="00A43959" w:rsidRPr="00F10358">
        <w:rPr>
          <w:rFonts w:ascii="Verdana" w:hAnsi="Verdana"/>
          <w:color w:val="000000" w:themeColor="text1"/>
          <w:sz w:val="20"/>
          <w:szCs w:val="20"/>
        </w:rPr>
        <w:t>continuità</w:t>
      </w:r>
      <w:r w:rsidR="0006784A" w:rsidRPr="00F10358">
        <w:rPr>
          <w:rFonts w:ascii="Verdana" w:hAnsi="Verdana"/>
          <w:color w:val="000000" w:themeColor="text1"/>
          <w:sz w:val="20"/>
          <w:szCs w:val="20"/>
        </w:rPr>
        <w:t xml:space="preserve"> (cfr. </w:t>
      </w:r>
      <w:r w:rsidR="00A43959" w:rsidRPr="00F10358">
        <w:rPr>
          <w:rFonts w:ascii="Verdana" w:hAnsi="Verdana"/>
          <w:i/>
          <w:color w:val="000000" w:themeColor="text1"/>
          <w:sz w:val="20"/>
          <w:szCs w:val="20"/>
        </w:rPr>
        <w:t>infra</w:t>
      </w:r>
      <w:r w:rsidR="0006784A" w:rsidRPr="00F10358">
        <w:rPr>
          <w:rFonts w:ascii="Verdana" w:hAnsi="Verdana"/>
          <w:color w:val="000000" w:themeColor="text1"/>
          <w:sz w:val="20"/>
          <w:szCs w:val="20"/>
        </w:rPr>
        <w:t xml:space="preserve"> §</w:t>
      </w:r>
      <w:r w:rsidR="007A3A98" w:rsidRPr="00F10358">
        <w:rPr>
          <w:rFonts w:ascii="Verdana" w:hAnsi="Verdana"/>
          <w:color w:val="000000" w:themeColor="text1"/>
          <w:sz w:val="20"/>
          <w:szCs w:val="20"/>
        </w:rPr>
        <w:t xml:space="preserve"> 6</w:t>
      </w:r>
      <w:r w:rsidR="0006784A" w:rsidRPr="00F10358">
        <w:rPr>
          <w:rFonts w:ascii="Verdana" w:hAnsi="Verdana"/>
          <w:color w:val="000000" w:themeColor="text1"/>
          <w:sz w:val="20"/>
          <w:szCs w:val="20"/>
        </w:rPr>
        <w:t>).</w:t>
      </w:r>
    </w:p>
    <w:p w:rsidR="0019133D" w:rsidRPr="00F10358" w:rsidRDefault="007E5A36" w:rsidP="003020BA">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Si aggiunga che è</w:t>
      </w:r>
      <w:r w:rsidR="0019133D" w:rsidRPr="00F10358">
        <w:rPr>
          <w:rFonts w:ascii="Verdana" w:hAnsi="Verdana"/>
          <w:color w:val="000000" w:themeColor="text1"/>
          <w:sz w:val="20"/>
          <w:szCs w:val="20"/>
        </w:rPr>
        <w:t xml:space="preserve"> la stessa </w:t>
      </w:r>
      <w:r w:rsidR="003B4079">
        <w:rPr>
          <w:rFonts w:ascii="Verdana" w:hAnsi="Verdana"/>
          <w:color w:val="000000" w:themeColor="text1"/>
          <w:sz w:val="20"/>
          <w:szCs w:val="20"/>
        </w:rPr>
        <w:t>INCOFARMA</w:t>
      </w:r>
      <w:r w:rsidR="007A3A98" w:rsidRPr="00F10358">
        <w:rPr>
          <w:rFonts w:ascii="Verdana" w:hAnsi="Verdana"/>
          <w:color w:val="000000" w:themeColor="text1"/>
          <w:sz w:val="20"/>
          <w:szCs w:val="20"/>
        </w:rPr>
        <w:t xml:space="preserve"> </w:t>
      </w:r>
      <w:r w:rsidRPr="00F10358">
        <w:rPr>
          <w:rFonts w:ascii="Verdana" w:hAnsi="Verdana"/>
          <w:color w:val="000000" w:themeColor="text1"/>
          <w:sz w:val="20"/>
          <w:szCs w:val="20"/>
        </w:rPr>
        <w:t xml:space="preserve">ad </w:t>
      </w:r>
      <w:r w:rsidR="007A3A98" w:rsidRPr="00F10358">
        <w:rPr>
          <w:rFonts w:ascii="Verdana" w:hAnsi="Verdana"/>
          <w:color w:val="000000" w:themeColor="text1"/>
          <w:sz w:val="20"/>
          <w:szCs w:val="20"/>
        </w:rPr>
        <w:t>eroga</w:t>
      </w:r>
      <w:r w:rsidRPr="00F10358">
        <w:rPr>
          <w:rFonts w:ascii="Verdana" w:hAnsi="Verdana"/>
          <w:color w:val="000000" w:themeColor="text1"/>
          <w:sz w:val="20"/>
          <w:szCs w:val="20"/>
        </w:rPr>
        <w:t>re</w:t>
      </w:r>
      <w:r w:rsidR="007A3A98" w:rsidRPr="00F10358">
        <w:rPr>
          <w:rFonts w:ascii="Verdana" w:hAnsi="Verdana"/>
          <w:color w:val="000000" w:themeColor="text1"/>
          <w:sz w:val="20"/>
          <w:szCs w:val="20"/>
        </w:rPr>
        <w:t xml:space="preserve"> servizi gratuiti</w:t>
      </w:r>
      <w:r w:rsidR="0019133D" w:rsidRPr="00F10358">
        <w:rPr>
          <w:rFonts w:ascii="Verdana" w:hAnsi="Verdana"/>
          <w:color w:val="000000" w:themeColor="text1"/>
          <w:sz w:val="20"/>
          <w:szCs w:val="20"/>
        </w:rPr>
        <w:t xml:space="preserve">, nell’ottica del servizio pubblico di assistenza </w:t>
      </w:r>
      <w:r w:rsidR="005C35B7" w:rsidRPr="00F10358">
        <w:rPr>
          <w:rFonts w:ascii="Verdana" w:hAnsi="Verdana"/>
          <w:color w:val="000000" w:themeColor="text1"/>
          <w:sz w:val="20"/>
          <w:szCs w:val="20"/>
        </w:rPr>
        <w:t>farmaceutica</w:t>
      </w:r>
      <w:r w:rsidR="0019133D" w:rsidRPr="00F10358">
        <w:rPr>
          <w:rFonts w:ascii="Verdana" w:hAnsi="Verdana"/>
          <w:color w:val="000000" w:themeColor="text1"/>
          <w:sz w:val="20"/>
          <w:szCs w:val="20"/>
        </w:rPr>
        <w:t>, mentre il CISS concorre a completare l’offerta alle comunità territoriali mediante l’</w:t>
      </w:r>
      <w:r w:rsidR="005C35B7" w:rsidRPr="00F10358">
        <w:rPr>
          <w:rFonts w:ascii="Verdana" w:hAnsi="Verdana"/>
          <w:color w:val="000000" w:themeColor="text1"/>
          <w:sz w:val="20"/>
          <w:szCs w:val="20"/>
        </w:rPr>
        <w:t>elaborazione</w:t>
      </w:r>
      <w:r w:rsidR="0019133D" w:rsidRPr="00F10358">
        <w:rPr>
          <w:rFonts w:ascii="Verdana" w:hAnsi="Verdana"/>
          <w:color w:val="000000" w:themeColor="text1"/>
          <w:sz w:val="20"/>
          <w:szCs w:val="20"/>
        </w:rPr>
        <w:t xml:space="preserve"> di progetti di “complemento” di n</w:t>
      </w:r>
      <w:r w:rsidR="005C35B7" w:rsidRPr="00F10358">
        <w:rPr>
          <w:rFonts w:ascii="Verdana" w:hAnsi="Verdana"/>
          <w:color w:val="000000" w:themeColor="text1"/>
          <w:sz w:val="20"/>
          <w:szCs w:val="20"/>
        </w:rPr>
        <w:t>a</w:t>
      </w:r>
      <w:r w:rsidR="0019133D" w:rsidRPr="00F10358">
        <w:rPr>
          <w:rFonts w:ascii="Verdana" w:hAnsi="Verdana"/>
          <w:color w:val="000000" w:themeColor="text1"/>
          <w:sz w:val="20"/>
          <w:szCs w:val="20"/>
        </w:rPr>
        <w:t xml:space="preserve">tura socio-sanitaria. </w:t>
      </w:r>
    </w:p>
    <w:p w:rsidR="003D391B" w:rsidRPr="00F10358" w:rsidRDefault="003D391B" w:rsidP="003020BA">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In buona sostanza, il CISS</w:t>
      </w:r>
      <w:r w:rsidR="00840058" w:rsidRPr="00F10358">
        <w:rPr>
          <w:rFonts w:ascii="Verdana" w:hAnsi="Verdana"/>
          <w:color w:val="000000" w:themeColor="text1"/>
          <w:sz w:val="20"/>
          <w:szCs w:val="20"/>
        </w:rPr>
        <w:t xml:space="preserve"> non svolge alcuna attività a rilevanza esterna e non esercita direttamente alcuna attività di erogazione di servizi socio-sanitari di natura farmaceutica, </w:t>
      </w:r>
      <w:r w:rsidR="00840058" w:rsidRPr="00F10358">
        <w:rPr>
          <w:rFonts w:ascii="Verdana" w:hAnsi="Verdana"/>
          <w:color w:val="000000" w:themeColor="text1"/>
          <w:sz w:val="20"/>
          <w:szCs w:val="20"/>
        </w:rPr>
        <w:lastRenderedPageBreak/>
        <w:t>assumendo al massimo il ruolo di “centrale di committenza”</w:t>
      </w:r>
      <w:r w:rsidR="007E5A36" w:rsidRPr="00F10358">
        <w:rPr>
          <w:rFonts w:ascii="Verdana" w:hAnsi="Verdana"/>
          <w:color w:val="000000" w:themeColor="text1"/>
          <w:sz w:val="20"/>
          <w:szCs w:val="20"/>
        </w:rPr>
        <w:t xml:space="preserve"> per l’esternalizzazione di servi</w:t>
      </w:r>
      <w:r w:rsidR="004E4ED9">
        <w:rPr>
          <w:rFonts w:ascii="Verdana" w:hAnsi="Verdana"/>
          <w:color w:val="000000" w:themeColor="text1"/>
          <w:sz w:val="20"/>
          <w:szCs w:val="20"/>
        </w:rPr>
        <w:t>zi</w:t>
      </w:r>
      <w:r w:rsidR="007E5A36" w:rsidRPr="00F10358">
        <w:rPr>
          <w:rFonts w:ascii="Verdana" w:hAnsi="Verdana"/>
          <w:color w:val="000000" w:themeColor="text1"/>
          <w:sz w:val="20"/>
          <w:szCs w:val="20"/>
        </w:rPr>
        <w:t xml:space="preserve"> complementari</w:t>
      </w:r>
      <w:r w:rsidR="00840058" w:rsidRPr="00F10358">
        <w:rPr>
          <w:rFonts w:ascii="Verdana" w:hAnsi="Verdana"/>
          <w:color w:val="000000" w:themeColor="text1"/>
          <w:sz w:val="20"/>
          <w:szCs w:val="20"/>
        </w:rPr>
        <w:t>.</w:t>
      </w:r>
    </w:p>
    <w:p w:rsidR="002852F3" w:rsidRPr="00F10358" w:rsidRDefault="007A3A98" w:rsidP="004753CD">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 xml:space="preserve">In quest’ottica si </w:t>
      </w:r>
      <w:r w:rsidR="00FB71AF">
        <w:rPr>
          <w:rFonts w:ascii="Verdana" w:hAnsi="Verdana"/>
          <w:color w:val="000000" w:themeColor="text1"/>
          <w:sz w:val="20"/>
          <w:szCs w:val="20"/>
        </w:rPr>
        <w:t xml:space="preserve">è argomentata </w:t>
      </w:r>
      <w:r w:rsidR="004E4ED9">
        <w:rPr>
          <w:rFonts w:ascii="Verdana" w:hAnsi="Verdana"/>
          <w:color w:val="000000" w:themeColor="text1"/>
          <w:sz w:val="20"/>
          <w:szCs w:val="20"/>
        </w:rPr>
        <w:t xml:space="preserve">in fatto </w:t>
      </w:r>
      <w:r w:rsidR="00FB71AF">
        <w:rPr>
          <w:rFonts w:ascii="Verdana" w:hAnsi="Verdana"/>
          <w:color w:val="000000" w:themeColor="text1"/>
          <w:sz w:val="20"/>
          <w:szCs w:val="20"/>
        </w:rPr>
        <w:t xml:space="preserve">e </w:t>
      </w:r>
      <w:r w:rsidR="004E4ED9">
        <w:rPr>
          <w:rFonts w:ascii="Verdana" w:hAnsi="Verdana"/>
          <w:color w:val="000000" w:themeColor="text1"/>
          <w:sz w:val="20"/>
          <w:szCs w:val="20"/>
        </w:rPr>
        <w:t xml:space="preserve">giustificata </w:t>
      </w:r>
      <w:r w:rsidRPr="00F10358">
        <w:rPr>
          <w:rFonts w:ascii="Verdana" w:hAnsi="Verdana"/>
          <w:color w:val="000000" w:themeColor="text1"/>
          <w:sz w:val="20"/>
          <w:szCs w:val="20"/>
        </w:rPr>
        <w:t xml:space="preserve">l’assenza di </w:t>
      </w:r>
      <w:r w:rsidR="00330A28" w:rsidRPr="00F10358">
        <w:rPr>
          <w:rFonts w:ascii="Verdana" w:hAnsi="Verdana"/>
          <w:color w:val="000000" w:themeColor="text1"/>
          <w:sz w:val="20"/>
          <w:szCs w:val="20"/>
        </w:rPr>
        <w:t xml:space="preserve">costi per </w:t>
      </w:r>
      <w:r w:rsidR="008D2B0B">
        <w:rPr>
          <w:rFonts w:ascii="Verdana" w:hAnsi="Verdana"/>
          <w:color w:val="000000" w:themeColor="text1"/>
          <w:sz w:val="20"/>
          <w:szCs w:val="20"/>
        </w:rPr>
        <w:t>il</w:t>
      </w:r>
      <w:r w:rsidR="00330A28" w:rsidRPr="00F10358">
        <w:rPr>
          <w:rFonts w:ascii="Verdana" w:hAnsi="Verdana"/>
          <w:color w:val="000000" w:themeColor="text1"/>
          <w:sz w:val="20"/>
          <w:szCs w:val="20"/>
        </w:rPr>
        <w:t xml:space="preserve"> </w:t>
      </w:r>
      <w:r w:rsidRPr="00F10358">
        <w:rPr>
          <w:rFonts w:ascii="Verdana" w:hAnsi="Verdana"/>
          <w:color w:val="000000" w:themeColor="text1"/>
          <w:sz w:val="20"/>
          <w:szCs w:val="20"/>
        </w:rPr>
        <w:t>personale</w:t>
      </w:r>
      <w:r w:rsidR="00330A28" w:rsidRPr="00F10358">
        <w:rPr>
          <w:rFonts w:ascii="Verdana" w:hAnsi="Verdana"/>
          <w:color w:val="000000" w:themeColor="text1"/>
          <w:sz w:val="20"/>
          <w:szCs w:val="20"/>
        </w:rPr>
        <w:t xml:space="preserve"> in senso tecnico</w:t>
      </w:r>
      <w:r w:rsidR="004F7001" w:rsidRPr="00F10358">
        <w:rPr>
          <w:rFonts w:ascii="Verdana" w:hAnsi="Verdana"/>
          <w:color w:val="000000" w:themeColor="text1"/>
          <w:sz w:val="20"/>
          <w:szCs w:val="20"/>
        </w:rPr>
        <w:t xml:space="preserve"> (</w:t>
      </w:r>
      <w:r w:rsidRPr="00F10358">
        <w:rPr>
          <w:rFonts w:ascii="Verdana" w:hAnsi="Verdana"/>
          <w:color w:val="000000" w:themeColor="text1"/>
          <w:sz w:val="20"/>
          <w:szCs w:val="20"/>
        </w:rPr>
        <w:t xml:space="preserve">una sola unità </w:t>
      </w:r>
      <w:r w:rsidR="004F7001" w:rsidRPr="00F10358">
        <w:rPr>
          <w:rFonts w:ascii="Verdana" w:hAnsi="Verdana"/>
          <w:color w:val="000000" w:themeColor="text1"/>
          <w:sz w:val="20"/>
          <w:szCs w:val="20"/>
        </w:rPr>
        <w:t>presente solo dal 2006</w:t>
      </w:r>
      <w:r w:rsidR="00330A28" w:rsidRPr="00F10358">
        <w:rPr>
          <w:rFonts w:ascii="Verdana" w:hAnsi="Verdana"/>
          <w:color w:val="000000" w:themeColor="text1"/>
          <w:sz w:val="20"/>
          <w:szCs w:val="20"/>
        </w:rPr>
        <w:t xml:space="preserve">), cui vanno aggiunti quelli per </w:t>
      </w:r>
      <w:r w:rsidR="004F7001" w:rsidRPr="00F10358">
        <w:rPr>
          <w:rFonts w:ascii="Verdana" w:hAnsi="Verdana"/>
          <w:color w:val="000000" w:themeColor="text1"/>
          <w:sz w:val="20"/>
          <w:szCs w:val="20"/>
        </w:rPr>
        <w:t>gli organi sociali</w:t>
      </w:r>
      <w:r w:rsidRPr="00F10358">
        <w:rPr>
          <w:rFonts w:ascii="Verdana" w:hAnsi="Verdana"/>
          <w:color w:val="000000" w:themeColor="text1"/>
          <w:sz w:val="20"/>
          <w:szCs w:val="20"/>
        </w:rPr>
        <w:t xml:space="preserve"> che costituiscono l’unica voce consistente in termini di “risorse umane”</w:t>
      </w:r>
      <w:r w:rsidR="004F7001" w:rsidRPr="00F10358">
        <w:rPr>
          <w:rFonts w:ascii="Verdana" w:hAnsi="Verdana"/>
          <w:color w:val="000000" w:themeColor="text1"/>
          <w:sz w:val="20"/>
          <w:szCs w:val="20"/>
        </w:rPr>
        <w:t>.</w:t>
      </w:r>
      <w:r w:rsidR="00BC61A0">
        <w:rPr>
          <w:rFonts w:ascii="Verdana" w:hAnsi="Verdana"/>
          <w:color w:val="000000" w:themeColor="text1"/>
          <w:sz w:val="20"/>
          <w:szCs w:val="20"/>
        </w:rPr>
        <w:t xml:space="preserve"> </w:t>
      </w:r>
      <w:r w:rsidR="0061590D">
        <w:rPr>
          <w:rFonts w:ascii="Verdana" w:hAnsi="Verdana"/>
          <w:color w:val="000000" w:themeColor="text1"/>
          <w:sz w:val="20"/>
          <w:szCs w:val="20"/>
        </w:rPr>
        <w:t>Tuttavia, a beneficio</w:t>
      </w:r>
      <w:r w:rsidR="00330A28" w:rsidRPr="00F10358">
        <w:rPr>
          <w:rFonts w:ascii="Verdana" w:hAnsi="Verdana"/>
          <w:color w:val="000000" w:themeColor="text1"/>
          <w:sz w:val="20"/>
          <w:szCs w:val="20"/>
        </w:rPr>
        <w:t xml:space="preserve"> dell’esercizio </w:t>
      </w:r>
      <w:r w:rsidR="0061590D" w:rsidRPr="00F10358">
        <w:rPr>
          <w:rFonts w:ascii="Verdana" w:hAnsi="Verdana"/>
          <w:color w:val="000000" w:themeColor="text1"/>
          <w:sz w:val="20"/>
          <w:szCs w:val="20"/>
        </w:rPr>
        <w:t>dell</w:t>
      </w:r>
      <w:r w:rsidR="0061590D">
        <w:rPr>
          <w:rFonts w:ascii="Verdana" w:hAnsi="Verdana"/>
          <w:color w:val="000000" w:themeColor="text1"/>
          <w:sz w:val="20"/>
          <w:szCs w:val="20"/>
        </w:rPr>
        <w:t>e</w:t>
      </w:r>
      <w:r w:rsidR="0061590D" w:rsidRPr="00F10358">
        <w:rPr>
          <w:rFonts w:ascii="Verdana" w:hAnsi="Verdana"/>
          <w:color w:val="000000" w:themeColor="text1"/>
          <w:sz w:val="20"/>
          <w:szCs w:val="20"/>
        </w:rPr>
        <w:t xml:space="preserve"> </w:t>
      </w:r>
      <w:r w:rsidR="00330A28" w:rsidRPr="00F10358">
        <w:rPr>
          <w:rFonts w:ascii="Verdana" w:hAnsi="Verdana"/>
          <w:color w:val="000000" w:themeColor="text1"/>
          <w:sz w:val="20"/>
          <w:szCs w:val="20"/>
        </w:rPr>
        <w:t xml:space="preserve">facoltà discrezionali </w:t>
      </w:r>
      <w:r w:rsidR="0061590D">
        <w:rPr>
          <w:rFonts w:ascii="Verdana" w:hAnsi="Verdana"/>
          <w:color w:val="000000" w:themeColor="text1"/>
          <w:sz w:val="20"/>
          <w:szCs w:val="20"/>
        </w:rPr>
        <w:t>spettanti a</w:t>
      </w:r>
      <w:r w:rsidR="00397C8A">
        <w:rPr>
          <w:rFonts w:ascii="Verdana" w:hAnsi="Verdana"/>
          <w:color w:val="000000" w:themeColor="text1"/>
          <w:sz w:val="20"/>
          <w:szCs w:val="20"/>
        </w:rPr>
        <w:t xml:space="preserve">lle </w:t>
      </w:r>
      <w:r w:rsidR="0061590D" w:rsidRPr="00F10358">
        <w:rPr>
          <w:rFonts w:ascii="Verdana" w:hAnsi="Verdana"/>
          <w:color w:val="000000" w:themeColor="text1"/>
          <w:sz w:val="20"/>
          <w:szCs w:val="20"/>
        </w:rPr>
        <w:t>amministrazioni</w:t>
      </w:r>
      <w:r w:rsidR="00330A28" w:rsidRPr="00F10358">
        <w:rPr>
          <w:rFonts w:ascii="Verdana" w:hAnsi="Verdana"/>
          <w:color w:val="000000" w:themeColor="text1"/>
          <w:sz w:val="20"/>
          <w:szCs w:val="20"/>
        </w:rPr>
        <w:t xml:space="preserve">, </w:t>
      </w:r>
      <w:r w:rsidR="00925A7E">
        <w:rPr>
          <w:rFonts w:ascii="Verdana" w:hAnsi="Verdana"/>
          <w:color w:val="000000" w:themeColor="text1"/>
          <w:sz w:val="20"/>
          <w:szCs w:val="20"/>
        </w:rPr>
        <w:t>giova richiamare,</w:t>
      </w:r>
      <w:r w:rsidR="0061590D">
        <w:rPr>
          <w:rFonts w:ascii="Verdana" w:hAnsi="Verdana"/>
          <w:color w:val="000000" w:themeColor="text1"/>
          <w:sz w:val="20"/>
          <w:szCs w:val="20"/>
        </w:rPr>
        <w:t xml:space="preserve"> in questa sede</w:t>
      </w:r>
      <w:r w:rsidR="00925A7E">
        <w:rPr>
          <w:rFonts w:ascii="Verdana" w:hAnsi="Verdana"/>
          <w:color w:val="000000" w:themeColor="text1"/>
          <w:sz w:val="20"/>
          <w:szCs w:val="20"/>
        </w:rPr>
        <w:t>,</w:t>
      </w:r>
      <w:r w:rsidR="0061590D">
        <w:rPr>
          <w:rFonts w:ascii="Verdana" w:hAnsi="Verdana"/>
          <w:color w:val="000000" w:themeColor="text1"/>
          <w:sz w:val="20"/>
          <w:szCs w:val="20"/>
        </w:rPr>
        <w:t xml:space="preserve"> la </w:t>
      </w:r>
      <w:r w:rsidR="0061590D" w:rsidRPr="004753CD">
        <w:rPr>
          <w:rFonts w:ascii="Verdana" w:hAnsi="Verdana"/>
          <w:i/>
          <w:color w:val="000000" w:themeColor="text1"/>
          <w:sz w:val="20"/>
          <w:szCs w:val="20"/>
        </w:rPr>
        <w:t>ratio</w:t>
      </w:r>
      <w:r w:rsidR="0061590D">
        <w:rPr>
          <w:rFonts w:ascii="Verdana" w:hAnsi="Verdana"/>
          <w:color w:val="000000" w:themeColor="text1"/>
          <w:sz w:val="20"/>
          <w:szCs w:val="20"/>
        </w:rPr>
        <w:t xml:space="preserve"> sottesa alle disposizioni normative che </w:t>
      </w:r>
      <w:r w:rsidR="00925A7E">
        <w:rPr>
          <w:rFonts w:ascii="Verdana" w:hAnsi="Verdana"/>
          <w:color w:val="000000" w:themeColor="text1"/>
          <w:sz w:val="20"/>
          <w:szCs w:val="20"/>
        </w:rPr>
        <w:t>pongono</w:t>
      </w:r>
      <w:r w:rsidR="00840058" w:rsidRPr="00F10358">
        <w:rPr>
          <w:rFonts w:ascii="Verdana" w:hAnsi="Verdana"/>
          <w:color w:val="000000" w:themeColor="text1"/>
          <w:sz w:val="20"/>
          <w:szCs w:val="20"/>
        </w:rPr>
        <w:t xml:space="preserve"> la </w:t>
      </w:r>
      <w:r w:rsidR="002852F3" w:rsidRPr="00F10358">
        <w:rPr>
          <w:rFonts w:ascii="Verdana" w:hAnsi="Verdana"/>
          <w:color w:val="000000" w:themeColor="text1"/>
          <w:sz w:val="20"/>
          <w:szCs w:val="20"/>
        </w:rPr>
        <w:t>necessità</w:t>
      </w:r>
      <w:r w:rsidR="00840058" w:rsidRPr="00F10358">
        <w:rPr>
          <w:rFonts w:ascii="Verdana" w:hAnsi="Verdana"/>
          <w:color w:val="000000" w:themeColor="text1"/>
          <w:sz w:val="20"/>
          <w:szCs w:val="20"/>
        </w:rPr>
        <w:t xml:space="preserve"> dell’integrazione organizzativa </w:t>
      </w:r>
      <w:r w:rsidR="009527A4" w:rsidRPr="00F10358">
        <w:rPr>
          <w:rFonts w:ascii="Verdana" w:hAnsi="Verdana"/>
          <w:color w:val="000000" w:themeColor="text1"/>
          <w:sz w:val="20"/>
          <w:szCs w:val="20"/>
        </w:rPr>
        <w:t>tra enti locali</w:t>
      </w:r>
      <w:r w:rsidR="000908BD">
        <w:rPr>
          <w:rFonts w:ascii="Verdana" w:hAnsi="Verdana"/>
          <w:color w:val="000000" w:themeColor="text1"/>
          <w:sz w:val="20"/>
          <w:szCs w:val="20"/>
        </w:rPr>
        <w:t xml:space="preserve">, in funzione della </w:t>
      </w:r>
      <w:r w:rsidR="00840058" w:rsidRPr="00F10358">
        <w:rPr>
          <w:rFonts w:ascii="Verdana" w:hAnsi="Verdana"/>
          <w:color w:val="000000" w:themeColor="text1"/>
          <w:sz w:val="20"/>
          <w:szCs w:val="20"/>
        </w:rPr>
        <w:t xml:space="preserve"> riduzione d</w:t>
      </w:r>
      <w:r w:rsidR="000908BD">
        <w:rPr>
          <w:rFonts w:ascii="Verdana" w:hAnsi="Verdana"/>
          <w:color w:val="000000" w:themeColor="text1"/>
          <w:sz w:val="20"/>
          <w:szCs w:val="20"/>
        </w:rPr>
        <w:t>e</w:t>
      </w:r>
      <w:r w:rsidR="00840058" w:rsidRPr="00F10358">
        <w:rPr>
          <w:rFonts w:ascii="Verdana" w:hAnsi="Verdana"/>
          <w:color w:val="000000" w:themeColor="text1"/>
          <w:sz w:val="20"/>
          <w:szCs w:val="20"/>
        </w:rPr>
        <w:t xml:space="preserve">i costi di gestione </w:t>
      </w:r>
      <w:r w:rsidR="000908BD">
        <w:rPr>
          <w:rFonts w:ascii="Verdana" w:hAnsi="Verdana"/>
          <w:color w:val="000000" w:themeColor="text1"/>
          <w:sz w:val="20"/>
          <w:szCs w:val="20"/>
        </w:rPr>
        <w:t xml:space="preserve">per le </w:t>
      </w:r>
      <w:r w:rsidR="00840058" w:rsidRPr="00F10358">
        <w:rPr>
          <w:rFonts w:ascii="Verdana" w:hAnsi="Verdana"/>
          <w:color w:val="000000" w:themeColor="text1"/>
          <w:sz w:val="20"/>
          <w:szCs w:val="20"/>
        </w:rPr>
        <w:t>“funzioni fondamentali”</w:t>
      </w:r>
      <w:r w:rsidR="004F3D5B" w:rsidRPr="00F10358">
        <w:rPr>
          <w:rFonts w:ascii="Verdana" w:hAnsi="Verdana"/>
          <w:color w:val="000000" w:themeColor="text1"/>
          <w:sz w:val="20"/>
          <w:szCs w:val="20"/>
        </w:rPr>
        <w:t xml:space="preserve"> (art. 14, comma 27, del D.L. n. 78/2010 come novellato dal</w:t>
      </w:r>
      <w:r w:rsidR="00656772" w:rsidRPr="00F10358">
        <w:rPr>
          <w:rFonts w:ascii="Verdana" w:hAnsi="Verdana"/>
          <w:color w:val="000000" w:themeColor="text1"/>
          <w:sz w:val="20"/>
          <w:szCs w:val="20"/>
        </w:rPr>
        <w:t>la</w:t>
      </w:r>
      <w:r w:rsidR="004F3D5B" w:rsidRPr="00F10358">
        <w:rPr>
          <w:rFonts w:ascii="Verdana" w:hAnsi="Verdana"/>
          <w:color w:val="000000" w:themeColor="text1"/>
          <w:sz w:val="20"/>
          <w:szCs w:val="20"/>
        </w:rPr>
        <w:t xml:space="preserve"> </w:t>
      </w:r>
      <w:r w:rsidR="00656772" w:rsidRPr="00F10358">
        <w:rPr>
          <w:rFonts w:ascii="Verdana" w:hAnsi="Verdana"/>
          <w:color w:val="000000" w:themeColor="text1"/>
          <w:sz w:val="20"/>
          <w:szCs w:val="20"/>
        </w:rPr>
        <w:t>L. n. 135/2012</w:t>
      </w:r>
      <w:r w:rsidR="002E5849" w:rsidRPr="00F10358">
        <w:rPr>
          <w:rFonts w:ascii="Verdana" w:hAnsi="Verdana"/>
          <w:color w:val="000000" w:themeColor="text1"/>
          <w:sz w:val="20"/>
          <w:szCs w:val="20"/>
        </w:rPr>
        <w:t xml:space="preserve">, tra cui </w:t>
      </w:r>
      <w:r w:rsidR="00E65D09" w:rsidRPr="00F10358">
        <w:rPr>
          <w:rFonts w:ascii="Verdana" w:hAnsi="Verdana"/>
          <w:color w:val="000000" w:themeColor="text1"/>
          <w:sz w:val="20"/>
          <w:szCs w:val="20"/>
        </w:rPr>
        <w:t xml:space="preserve">cfr. </w:t>
      </w:r>
      <w:r w:rsidR="002E5849" w:rsidRPr="00F10358">
        <w:rPr>
          <w:rFonts w:ascii="Verdana" w:hAnsi="Verdana"/>
          <w:color w:val="000000" w:themeColor="text1"/>
          <w:sz w:val="20"/>
          <w:szCs w:val="20"/>
        </w:rPr>
        <w:t xml:space="preserve">la lettera </w:t>
      </w:r>
      <w:r w:rsidR="002E5849" w:rsidRPr="00F10358">
        <w:rPr>
          <w:rFonts w:ascii="Verdana" w:hAnsi="Verdana"/>
          <w:bCs/>
          <w:i/>
          <w:iCs/>
          <w:color w:val="000000" w:themeColor="text1"/>
          <w:sz w:val="20"/>
          <w:szCs w:val="20"/>
        </w:rPr>
        <w:t>b) organizzazione dei servizi pubblici di interesse generale di ambito comunale, ivi compresi i servizi di trasporto pubblico comunale</w:t>
      </w:r>
      <w:r w:rsidR="004F3D5B" w:rsidRPr="00F10358">
        <w:rPr>
          <w:rFonts w:ascii="Verdana" w:hAnsi="Verdana"/>
          <w:color w:val="000000" w:themeColor="text1"/>
          <w:sz w:val="20"/>
          <w:szCs w:val="20"/>
        </w:rPr>
        <w:t>)</w:t>
      </w:r>
      <w:r w:rsidR="0061590D">
        <w:rPr>
          <w:rFonts w:ascii="Verdana" w:hAnsi="Verdana"/>
          <w:color w:val="000000" w:themeColor="text1"/>
          <w:sz w:val="20"/>
          <w:szCs w:val="20"/>
        </w:rPr>
        <w:t>.</w:t>
      </w:r>
      <w:r w:rsidR="00840058" w:rsidRPr="00F10358">
        <w:rPr>
          <w:rFonts w:ascii="Verdana" w:hAnsi="Verdana"/>
          <w:color w:val="000000" w:themeColor="text1"/>
          <w:sz w:val="20"/>
          <w:szCs w:val="20"/>
        </w:rPr>
        <w:t xml:space="preserve"> </w:t>
      </w:r>
      <w:r w:rsidR="0061590D">
        <w:rPr>
          <w:rFonts w:ascii="Verdana" w:hAnsi="Verdana"/>
          <w:color w:val="000000" w:themeColor="text1"/>
          <w:sz w:val="20"/>
          <w:szCs w:val="20"/>
        </w:rPr>
        <w:t>T</w:t>
      </w:r>
      <w:r w:rsidR="0061590D" w:rsidRPr="00F10358">
        <w:rPr>
          <w:rFonts w:ascii="Verdana" w:hAnsi="Verdana"/>
          <w:color w:val="000000" w:themeColor="text1"/>
          <w:sz w:val="20"/>
          <w:szCs w:val="20"/>
        </w:rPr>
        <w:t xml:space="preserve">ale </w:t>
      </w:r>
      <w:r w:rsidR="00840058" w:rsidRPr="00F10358">
        <w:rPr>
          <w:rFonts w:ascii="Verdana" w:hAnsi="Verdana"/>
          <w:color w:val="000000" w:themeColor="text1"/>
          <w:sz w:val="20"/>
          <w:szCs w:val="20"/>
        </w:rPr>
        <w:t>normativa</w:t>
      </w:r>
      <w:r w:rsidR="000908BD">
        <w:rPr>
          <w:rFonts w:ascii="Verdana" w:hAnsi="Verdana"/>
          <w:color w:val="000000" w:themeColor="text1"/>
          <w:sz w:val="20"/>
          <w:szCs w:val="20"/>
        </w:rPr>
        <w:t>, infatti, mira alla</w:t>
      </w:r>
      <w:r w:rsidR="00840058" w:rsidRPr="00F10358">
        <w:rPr>
          <w:rFonts w:ascii="Verdana" w:hAnsi="Verdana"/>
          <w:color w:val="000000" w:themeColor="text1"/>
          <w:sz w:val="20"/>
          <w:szCs w:val="20"/>
        </w:rPr>
        <w:t xml:space="preserve"> riduzione di </w:t>
      </w:r>
      <w:r w:rsidR="002852F3" w:rsidRPr="00F10358">
        <w:rPr>
          <w:rFonts w:ascii="Verdana" w:hAnsi="Verdana"/>
          <w:color w:val="000000" w:themeColor="text1"/>
          <w:sz w:val="20"/>
          <w:szCs w:val="20"/>
        </w:rPr>
        <w:t>strutture organizzative sovrabbondanti e non alla loro moltiplicazione. In</w:t>
      </w:r>
      <w:r w:rsidR="0028535D">
        <w:rPr>
          <w:rFonts w:ascii="Verdana" w:hAnsi="Verdana"/>
          <w:color w:val="000000" w:themeColor="text1"/>
          <w:sz w:val="20"/>
          <w:szCs w:val="20"/>
        </w:rPr>
        <w:t xml:space="preserve"> funzione di tale ob</w:t>
      </w:r>
      <w:r w:rsidR="003A6054">
        <w:rPr>
          <w:rFonts w:ascii="Verdana" w:hAnsi="Verdana"/>
          <w:color w:val="000000" w:themeColor="text1"/>
          <w:sz w:val="20"/>
          <w:szCs w:val="20"/>
        </w:rPr>
        <w:t>b</w:t>
      </w:r>
      <w:r w:rsidR="0028535D">
        <w:rPr>
          <w:rFonts w:ascii="Verdana" w:hAnsi="Verdana"/>
          <w:color w:val="000000" w:themeColor="text1"/>
          <w:sz w:val="20"/>
          <w:szCs w:val="20"/>
        </w:rPr>
        <w:t>iettivo</w:t>
      </w:r>
      <w:r w:rsidR="002852F3" w:rsidRPr="00F10358">
        <w:rPr>
          <w:rFonts w:ascii="Verdana" w:hAnsi="Verdana"/>
          <w:color w:val="000000" w:themeColor="text1"/>
          <w:sz w:val="20"/>
          <w:szCs w:val="20"/>
        </w:rPr>
        <w:t xml:space="preserve">, lo strumento del coordinamento previsto dal Legislatore </w:t>
      </w:r>
      <w:r w:rsidR="003A6054" w:rsidRPr="00F10358">
        <w:rPr>
          <w:rFonts w:ascii="Verdana" w:hAnsi="Verdana"/>
          <w:color w:val="000000" w:themeColor="text1"/>
          <w:sz w:val="20"/>
          <w:szCs w:val="20"/>
        </w:rPr>
        <w:t>(in forma obbligatoria, peraltro, solo per i comuni al di sotto di 5.000 abitanti, 3.000 se parte di comunità montane)</w:t>
      </w:r>
      <w:r w:rsidR="003A6054">
        <w:rPr>
          <w:rFonts w:ascii="Verdana" w:hAnsi="Verdana"/>
          <w:color w:val="000000" w:themeColor="text1"/>
          <w:sz w:val="20"/>
          <w:szCs w:val="20"/>
        </w:rPr>
        <w:t xml:space="preserve"> </w:t>
      </w:r>
      <w:r w:rsidR="002852F3" w:rsidRPr="00F10358">
        <w:rPr>
          <w:rFonts w:ascii="Verdana" w:hAnsi="Verdana"/>
          <w:color w:val="000000" w:themeColor="text1"/>
          <w:sz w:val="20"/>
          <w:szCs w:val="20"/>
        </w:rPr>
        <w:t>è</w:t>
      </w:r>
      <w:r w:rsidR="005C5CB0">
        <w:rPr>
          <w:rFonts w:ascii="Verdana" w:hAnsi="Verdana"/>
          <w:color w:val="000000" w:themeColor="text1"/>
          <w:sz w:val="20"/>
          <w:szCs w:val="20"/>
        </w:rPr>
        <w:t>,</w:t>
      </w:r>
      <w:r w:rsidR="002852F3" w:rsidRPr="00F10358">
        <w:rPr>
          <w:rFonts w:ascii="Verdana" w:hAnsi="Verdana"/>
          <w:color w:val="000000" w:themeColor="text1"/>
          <w:sz w:val="20"/>
          <w:szCs w:val="20"/>
        </w:rPr>
        <w:t xml:space="preserve"> se possibile</w:t>
      </w:r>
      <w:r w:rsidR="005C5CB0">
        <w:rPr>
          <w:rFonts w:ascii="Verdana" w:hAnsi="Verdana"/>
          <w:color w:val="000000" w:themeColor="text1"/>
          <w:sz w:val="20"/>
          <w:szCs w:val="20"/>
        </w:rPr>
        <w:t>,</w:t>
      </w:r>
      <w:r w:rsidR="002852F3" w:rsidRPr="00F10358">
        <w:rPr>
          <w:rFonts w:ascii="Verdana" w:hAnsi="Verdana"/>
          <w:color w:val="000000" w:themeColor="text1"/>
          <w:sz w:val="20"/>
          <w:szCs w:val="20"/>
        </w:rPr>
        <w:t xml:space="preserve"> </w:t>
      </w:r>
      <w:r w:rsidR="005C5CB0" w:rsidRPr="00F10358">
        <w:rPr>
          <w:rFonts w:ascii="Verdana" w:hAnsi="Verdana"/>
          <w:color w:val="000000" w:themeColor="text1"/>
          <w:sz w:val="20"/>
          <w:szCs w:val="20"/>
        </w:rPr>
        <w:t>l’unione</w:t>
      </w:r>
      <w:r w:rsidR="005C5CB0">
        <w:rPr>
          <w:rFonts w:ascii="Verdana" w:hAnsi="Verdana"/>
          <w:color w:val="000000" w:themeColor="text1"/>
          <w:sz w:val="20"/>
          <w:szCs w:val="20"/>
        </w:rPr>
        <w:t xml:space="preserve"> </w:t>
      </w:r>
      <w:r w:rsidR="003A6054">
        <w:rPr>
          <w:rFonts w:ascii="Verdana" w:hAnsi="Verdana"/>
          <w:color w:val="000000" w:themeColor="text1"/>
          <w:sz w:val="20"/>
          <w:szCs w:val="20"/>
        </w:rPr>
        <w:t xml:space="preserve">– che </w:t>
      </w:r>
      <w:proofErr w:type="gramStart"/>
      <w:r w:rsidR="003A6054">
        <w:rPr>
          <w:rFonts w:ascii="Verdana" w:hAnsi="Verdana"/>
          <w:color w:val="000000" w:themeColor="text1"/>
          <w:sz w:val="20"/>
          <w:szCs w:val="20"/>
        </w:rPr>
        <w:t xml:space="preserve">comporta </w:t>
      </w:r>
      <w:r w:rsidR="005C5CB0" w:rsidRPr="00F10358">
        <w:rPr>
          <w:rFonts w:ascii="Verdana" w:hAnsi="Verdana"/>
          <w:color w:val="000000" w:themeColor="text1"/>
          <w:sz w:val="20"/>
          <w:szCs w:val="20"/>
        </w:rPr>
        <w:t xml:space="preserve"> </w:t>
      </w:r>
      <w:r w:rsidR="002852F3" w:rsidRPr="00F10358">
        <w:rPr>
          <w:rFonts w:ascii="Verdana" w:hAnsi="Verdana"/>
          <w:color w:val="000000" w:themeColor="text1"/>
          <w:sz w:val="20"/>
          <w:szCs w:val="20"/>
        </w:rPr>
        <w:t>una</w:t>
      </w:r>
      <w:proofErr w:type="gramEnd"/>
      <w:r w:rsidR="002852F3" w:rsidRPr="00F10358">
        <w:rPr>
          <w:rFonts w:ascii="Verdana" w:hAnsi="Verdana"/>
          <w:color w:val="000000" w:themeColor="text1"/>
          <w:sz w:val="20"/>
          <w:szCs w:val="20"/>
        </w:rPr>
        <w:t xml:space="preserve"> vera e propria integrazione burocratica</w:t>
      </w:r>
      <w:r w:rsidR="005C5CB0">
        <w:rPr>
          <w:rFonts w:ascii="Verdana" w:hAnsi="Verdana"/>
          <w:color w:val="000000" w:themeColor="text1"/>
          <w:sz w:val="20"/>
          <w:szCs w:val="20"/>
        </w:rPr>
        <w:t xml:space="preserve"> </w:t>
      </w:r>
      <w:r w:rsidR="003A6054">
        <w:rPr>
          <w:rFonts w:ascii="Verdana" w:hAnsi="Verdana"/>
          <w:color w:val="000000" w:themeColor="text1"/>
          <w:sz w:val="20"/>
          <w:szCs w:val="20"/>
        </w:rPr>
        <w:t>–</w:t>
      </w:r>
      <w:r w:rsidR="002852F3" w:rsidRPr="00F10358">
        <w:rPr>
          <w:rFonts w:ascii="Verdana" w:hAnsi="Verdana"/>
          <w:color w:val="000000" w:themeColor="text1"/>
          <w:sz w:val="20"/>
          <w:szCs w:val="20"/>
        </w:rPr>
        <w:t xml:space="preserve"> o altrimenti</w:t>
      </w:r>
      <w:r w:rsidR="005C5CB0">
        <w:rPr>
          <w:rFonts w:ascii="Verdana" w:hAnsi="Verdana"/>
          <w:color w:val="000000" w:themeColor="text1"/>
          <w:sz w:val="20"/>
          <w:szCs w:val="20"/>
        </w:rPr>
        <w:t>,</w:t>
      </w:r>
      <w:r w:rsidR="002852F3" w:rsidRPr="00F10358">
        <w:rPr>
          <w:rFonts w:ascii="Verdana" w:hAnsi="Verdana"/>
          <w:color w:val="000000" w:themeColor="text1"/>
          <w:sz w:val="20"/>
          <w:szCs w:val="20"/>
        </w:rPr>
        <w:t xml:space="preserve"> la forma leggera della “convenzione”</w:t>
      </w:r>
      <w:r w:rsidR="00134801" w:rsidRPr="00F10358">
        <w:rPr>
          <w:rFonts w:ascii="Verdana" w:hAnsi="Verdana"/>
          <w:color w:val="000000" w:themeColor="text1"/>
          <w:sz w:val="20"/>
          <w:szCs w:val="20"/>
        </w:rPr>
        <w:t xml:space="preserve"> (sulla ricostruzione del quadro normativo in materia cfr. SRC Lombardia n</w:t>
      </w:r>
      <w:r w:rsidR="002936DE" w:rsidRPr="00F10358">
        <w:rPr>
          <w:rFonts w:ascii="Verdana" w:hAnsi="Verdana"/>
          <w:color w:val="000000" w:themeColor="text1"/>
          <w:sz w:val="20"/>
          <w:szCs w:val="20"/>
        </w:rPr>
        <w:t xml:space="preserve">. </w:t>
      </w:r>
      <w:r w:rsidR="002936DE" w:rsidRPr="00F10358">
        <w:rPr>
          <w:rFonts w:ascii="Verdana" w:hAnsi="Verdana"/>
          <w:bCs/>
          <w:iCs/>
          <w:color w:val="000000" w:themeColor="text1"/>
          <w:sz w:val="20"/>
          <w:szCs w:val="20"/>
        </w:rPr>
        <w:t>418/20012/PAR</w:t>
      </w:r>
      <w:r w:rsidR="002936DE" w:rsidRPr="00F10358">
        <w:rPr>
          <w:rFonts w:ascii="Verdana" w:hAnsi="Verdana"/>
          <w:color w:val="000000" w:themeColor="text1"/>
          <w:sz w:val="20"/>
          <w:szCs w:val="20"/>
        </w:rPr>
        <w:t>)</w:t>
      </w:r>
      <w:r w:rsidR="002852F3" w:rsidRPr="00F10358">
        <w:rPr>
          <w:rFonts w:ascii="Verdana" w:hAnsi="Verdana"/>
          <w:color w:val="000000" w:themeColor="text1"/>
          <w:sz w:val="20"/>
          <w:szCs w:val="20"/>
        </w:rPr>
        <w:t>.</w:t>
      </w:r>
    </w:p>
    <w:p w:rsidR="00956187" w:rsidRPr="00F10358" w:rsidRDefault="00E65D09" w:rsidP="003020BA">
      <w:pPr>
        <w:spacing w:line="360" w:lineRule="auto"/>
        <w:ind w:firstLine="708"/>
        <w:jc w:val="both"/>
        <w:rPr>
          <w:rFonts w:ascii="Verdana" w:hAnsi="Verdana"/>
          <w:color w:val="000000" w:themeColor="text1"/>
          <w:sz w:val="20"/>
          <w:szCs w:val="20"/>
        </w:rPr>
      </w:pPr>
      <w:r w:rsidRPr="00F10358">
        <w:rPr>
          <w:rFonts w:ascii="Verdana" w:hAnsi="Verdana"/>
          <w:color w:val="000000" w:themeColor="text1"/>
          <w:sz w:val="20"/>
          <w:szCs w:val="20"/>
        </w:rPr>
        <w:t>Peraltro</w:t>
      </w:r>
      <w:r w:rsidR="00375FAB" w:rsidRPr="00F10358">
        <w:rPr>
          <w:rFonts w:ascii="Verdana" w:hAnsi="Verdana"/>
          <w:color w:val="000000" w:themeColor="text1"/>
          <w:sz w:val="20"/>
          <w:szCs w:val="20"/>
        </w:rPr>
        <w:t xml:space="preserve">, </w:t>
      </w:r>
      <w:r w:rsidR="00E3041C">
        <w:rPr>
          <w:rFonts w:ascii="Verdana" w:hAnsi="Verdana"/>
          <w:color w:val="000000" w:themeColor="text1"/>
          <w:sz w:val="20"/>
          <w:szCs w:val="20"/>
        </w:rPr>
        <w:t>quella del c</w:t>
      </w:r>
      <w:r w:rsidR="00956187" w:rsidRPr="00F10358">
        <w:rPr>
          <w:rFonts w:ascii="Verdana" w:hAnsi="Verdana"/>
          <w:color w:val="000000" w:themeColor="text1"/>
          <w:sz w:val="20"/>
          <w:szCs w:val="20"/>
        </w:rPr>
        <w:t xml:space="preserve">onsorzio, si rammenta, </w:t>
      </w:r>
      <w:r w:rsidR="007E69A6" w:rsidRPr="00F10358">
        <w:rPr>
          <w:rFonts w:ascii="Verdana" w:hAnsi="Verdana"/>
          <w:color w:val="000000" w:themeColor="text1"/>
          <w:sz w:val="20"/>
          <w:szCs w:val="20"/>
        </w:rPr>
        <w:t>costituisce</w:t>
      </w:r>
      <w:r w:rsidR="00956187" w:rsidRPr="00F10358">
        <w:rPr>
          <w:rFonts w:ascii="Verdana" w:hAnsi="Verdana"/>
          <w:color w:val="000000" w:themeColor="text1"/>
          <w:sz w:val="20"/>
          <w:szCs w:val="20"/>
        </w:rPr>
        <w:t xml:space="preserve"> una forma di coordinamento verso la cui </w:t>
      </w:r>
      <w:r w:rsidR="007E69A6" w:rsidRPr="00F10358">
        <w:rPr>
          <w:rFonts w:ascii="Verdana" w:hAnsi="Verdana"/>
          <w:color w:val="000000" w:themeColor="text1"/>
          <w:sz w:val="20"/>
          <w:szCs w:val="20"/>
        </w:rPr>
        <w:t>onerosità</w:t>
      </w:r>
      <w:r w:rsidR="00956187" w:rsidRPr="00F10358">
        <w:rPr>
          <w:rFonts w:ascii="Verdana" w:hAnsi="Verdana"/>
          <w:color w:val="000000" w:themeColor="text1"/>
          <w:sz w:val="20"/>
          <w:szCs w:val="20"/>
        </w:rPr>
        <w:t xml:space="preserve"> il </w:t>
      </w:r>
      <w:r w:rsidR="004C5043">
        <w:rPr>
          <w:rFonts w:ascii="Verdana" w:hAnsi="Verdana"/>
          <w:color w:val="000000" w:themeColor="text1"/>
          <w:sz w:val="20"/>
          <w:szCs w:val="20"/>
        </w:rPr>
        <w:t>L</w:t>
      </w:r>
      <w:r w:rsidR="007E69A6" w:rsidRPr="00F10358">
        <w:rPr>
          <w:rFonts w:ascii="Verdana" w:hAnsi="Verdana"/>
          <w:color w:val="000000" w:themeColor="text1"/>
          <w:sz w:val="20"/>
          <w:szCs w:val="20"/>
        </w:rPr>
        <w:t>egislatore</w:t>
      </w:r>
      <w:r w:rsidR="00956187" w:rsidRPr="00F10358">
        <w:rPr>
          <w:rFonts w:ascii="Verdana" w:hAnsi="Verdana"/>
          <w:color w:val="000000" w:themeColor="text1"/>
          <w:sz w:val="20"/>
          <w:szCs w:val="20"/>
        </w:rPr>
        <w:t>, in generale, ha mostrato uno sf</w:t>
      </w:r>
      <w:r w:rsidR="007E69A6" w:rsidRPr="00F10358">
        <w:rPr>
          <w:rFonts w:ascii="Verdana" w:hAnsi="Verdana"/>
          <w:color w:val="000000" w:themeColor="text1"/>
          <w:sz w:val="20"/>
          <w:szCs w:val="20"/>
        </w:rPr>
        <w:t xml:space="preserve">avore che ha portato a imporre </w:t>
      </w:r>
      <w:r w:rsidR="00956187" w:rsidRPr="00F10358">
        <w:rPr>
          <w:rFonts w:ascii="Verdana" w:hAnsi="Verdana"/>
          <w:color w:val="000000" w:themeColor="text1"/>
          <w:sz w:val="20"/>
          <w:szCs w:val="20"/>
        </w:rPr>
        <w:t>lo sci</w:t>
      </w:r>
      <w:r w:rsidR="007E69A6" w:rsidRPr="00F10358">
        <w:rPr>
          <w:rFonts w:ascii="Verdana" w:hAnsi="Verdana"/>
          <w:color w:val="000000" w:themeColor="text1"/>
          <w:sz w:val="20"/>
          <w:szCs w:val="20"/>
        </w:rPr>
        <w:t>o</w:t>
      </w:r>
      <w:r w:rsidR="00956187" w:rsidRPr="00F10358">
        <w:rPr>
          <w:rFonts w:ascii="Verdana" w:hAnsi="Verdana"/>
          <w:color w:val="000000" w:themeColor="text1"/>
          <w:sz w:val="20"/>
          <w:szCs w:val="20"/>
        </w:rPr>
        <w:t>glimento e vietare i consorzi di “funzioni” in senso tecnico</w:t>
      </w:r>
      <w:r w:rsidR="007E69A6" w:rsidRPr="00F10358">
        <w:rPr>
          <w:rFonts w:ascii="Verdana" w:hAnsi="Verdana"/>
          <w:color w:val="000000" w:themeColor="text1"/>
          <w:sz w:val="20"/>
          <w:szCs w:val="20"/>
        </w:rPr>
        <w:t xml:space="preserve"> (cfr. </w:t>
      </w:r>
      <w:r w:rsidR="009124AE" w:rsidRPr="00F10358">
        <w:rPr>
          <w:rFonts w:ascii="Verdana" w:hAnsi="Verdana"/>
          <w:color w:val="000000" w:themeColor="text1"/>
          <w:sz w:val="20"/>
          <w:szCs w:val="20"/>
        </w:rPr>
        <w:t>l</w:t>
      </w:r>
      <w:r w:rsidR="00270470" w:rsidRPr="00F10358">
        <w:rPr>
          <w:rFonts w:ascii="Verdana" w:hAnsi="Verdana"/>
          <w:color w:val="000000" w:themeColor="text1"/>
          <w:sz w:val="20"/>
          <w:szCs w:val="20"/>
        </w:rPr>
        <w:t xml:space="preserve">’art. 2, comma 186, </w:t>
      </w:r>
      <w:proofErr w:type="spellStart"/>
      <w:r w:rsidR="00270470" w:rsidRPr="00F10358">
        <w:rPr>
          <w:rFonts w:ascii="Verdana" w:hAnsi="Verdana"/>
          <w:color w:val="000000" w:themeColor="text1"/>
          <w:sz w:val="20"/>
          <w:szCs w:val="20"/>
        </w:rPr>
        <w:t>lett</w:t>
      </w:r>
      <w:proofErr w:type="spellEnd"/>
      <w:r w:rsidR="00270470" w:rsidRPr="00F10358">
        <w:rPr>
          <w:rFonts w:ascii="Verdana" w:hAnsi="Verdana"/>
          <w:color w:val="000000" w:themeColor="text1"/>
          <w:sz w:val="20"/>
          <w:szCs w:val="20"/>
        </w:rPr>
        <w:t>. e</w:t>
      </w:r>
      <w:r w:rsidR="005B5FF7" w:rsidRPr="00F10358">
        <w:rPr>
          <w:rFonts w:ascii="Verdana" w:hAnsi="Verdana"/>
          <w:color w:val="000000" w:themeColor="text1"/>
          <w:sz w:val="20"/>
          <w:szCs w:val="20"/>
        </w:rPr>
        <w:t xml:space="preserve"> </w:t>
      </w:r>
      <w:r w:rsidR="00270470" w:rsidRPr="00F10358">
        <w:rPr>
          <w:rFonts w:ascii="Verdana" w:hAnsi="Verdana"/>
          <w:color w:val="000000" w:themeColor="text1"/>
          <w:sz w:val="20"/>
          <w:szCs w:val="20"/>
        </w:rPr>
        <w:t>della L. n. 191/2009</w:t>
      </w:r>
      <w:r w:rsidR="007E69A6" w:rsidRPr="00F10358">
        <w:rPr>
          <w:rFonts w:ascii="Verdana" w:hAnsi="Verdana"/>
          <w:color w:val="000000" w:themeColor="text1"/>
          <w:sz w:val="20"/>
          <w:szCs w:val="20"/>
        </w:rPr>
        <w:t>)</w:t>
      </w:r>
      <w:r w:rsidR="00375FAB" w:rsidRPr="00F10358">
        <w:rPr>
          <w:rFonts w:ascii="Verdana" w:hAnsi="Verdana"/>
          <w:color w:val="000000" w:themeColor="text1"/>
          <w:sz w:val="20"/>
          <w:szCs w:val="20"/>
        </w:rPr>
        <w:t>, facendo salv</w:t>
      </w:r>
      <w:r w:rsidR="00EF30D1" w:rsidRPr="00F10358">
        <w:rPr>
          <w:rFonts w:ascii="Verdana" w:hAnsi="Verdana"/>
          <w:color w:val="000000" w:themeColor="text1"/>
          <w:sz w:val="20"/>
          <w:szCs w:val="20"/>
        </w:rPr>
        <w:t>i solo i consorzi di servizi</w:t>
      </w:r>
      <w:r w:rsidR="00956187" w:rsidRPr="00F10358">
        <w:rPr>
          <w:rFonts w:ascii="Verdana" w:hAnsi="Verdana"/>
          <w:color w:val="000000" w:themeColor="text1"/>
          <w:sz w:val="20"/>
          <w:szCs w:val="20"/>
        </w:rPr>
        <w:t>.</w:t>
      </w:r>
    </w:p>
    <w:p w:rsidR="00956187" w:rsidRPr="00F10358" w:rsidRDefault="00956187" w:rsidP="003020BA">
      <w:pPr>
        <w:spacing w:line="360" w:lineRule="auto"/>
        <w:ind w:firstLine="708"/>
        <w:jc w:val="both"/>
        <w:rPr>
          <w:rFonts w:ascii="Verdana" w:hAnsi="Verdana"/>
          <w:color w:val="000000" w:themeColor="text1"/>
          <w:sz w:val="20"/>
          <w:szCs w:val="20"/>
        </w:rPr>
      </w:pPr>
      <w:r w:rsidRPr="00F10358">
        <w:rPr>
          <w:rFonts w:ascii="Verdana" w:hAnsi="Verdana"/>
          <w:color w:val="000000" w:themeColor="text1"/>
          <w:sz w:val="20"/>
          <w:szCs w:val="20"/>
        </w:rPr>
        <w:t xml:space="preserve">In </w:t>
      </w:r>
      <w:r w:rsidR="00375FAB" w:rsidRPr="00F10358">
        <w:rPr>
          <w:rFonts w:ascii="Verdana" w:hAnsi="Verdana"/>
          <w:color w:val="000000" w:themeColor="text1"/>
          <w:sz w:val="20"/>
          <w:szCs w:val="20"/>
        </w:rPr>
        <w:t>definitiva</w:t>
      </w:r>
      <w:r w:rsidRPr="00F10358">
        <w:rPr>
          <w:rFonts w:ascii="Verdana" w:hAnsi="Verdana"/>
          <w:color w:val="000000" w:themeColor="text1"/>
          <w:sz w:val="20"/>
          <w:szCs w:val="20"/>
        </w:rPr>
        <w:t xml:space="preserve">, </w:t>
      </w:r>
      <w:r w:rsidR="00E65D09" w:rsidRPr="00F10358">
        <w:rPr>
          <w:rFonts w:ascii="Verdana" w:hAnsi="Verdana"/>
          <w:color w:val="000000" w:themeColor="text1"/>
          <w:sz w:val="20"/>
          <w:szCs w:val="20"/>
        </w:rPr>
        <w:t xml:space="preserve">anche nel vigente quadro normativo, </w:t>
      </w:r>
      <w:r w:rsidR="003E54D9">
        <w:rPr>
          <w:rFonts w:ascii="Verdana" w:hAnsi="Verdana"/>
          <w:color w:val="000000" w:themeColor="text1"/>
          <w:sz w:val="20"/>
          <w:szCs w:val="20"/>
        </w:rPr>
        <w:t>volendo considerare la “</w:t>
      </w:r>
      <w:r w:rsidR="00F2158A" w:rsidRPr="00F10358">
        <w:rPr>
          <w:rFonts w:ascii="Verdana" w:hAnsi="Verdana"/>
          <w:color w:val="000000" w:themeColor="text1"/>
          <w:sz w:val="20"/>
          <w:szCs w:val="20"/>
        </w:rPr>
        <w:t>funzione</w:t>
      </w:r>
      <w:r w:rsidR="003E54D9">
        <w:rPr>
          <w:rFonts w:ascii="Verdana" w:hAnsi="Verdana"/>
          <w:color w:val="000000" w:themeColor="text1"/>
          <w:sz w:val="20"/>
          <w:szCs w:val="20"/>
        </w:rPr>
        <w:t>”</w:t>
      </w:r>
      <w:r w:rsidR="00F2158A" w:rsidRPr="00F10358">
        <w:rPr>
          <w:rFonts w:ascii="Verdana" w:hAnsi="Verdana"/>
          <w:color w:val="000000" w:themeColor="text1"/>
          <w:sz w:val="20"/>
          <w:szCs w:val="20"/>
        </w:rPr>
        <w:t xml:space="preserve"> di “organizzazione dell’erogazione di servizi” quale </w:t>
      </w:r>
      <w:r w:rsidR="003E54D9">
        <w:rPr>
          <w:rFonts w:ascii="Verdana" w:hAnsi="Verdana"/>
          <w:color w:val="000000" w:themeColor="text1"/>
          <w:sz w:val="20"/>
          <w:szCs w:val="20"/>
        </w:rPr>
        <w:t>funzione autorizzata dalla legge</w:t>
      </w:r>
      <w:r w:rsidR="007329C5">
        <w:rPr>
          <w:rFonts w:ascii="Verdana" w:hAnsi="Verdana"/>
          <w:color w:val="000000" w:themeColor="text1"/>
          <w:sz w:val="20"/>
          <w:szCs w:val="20"/>
        </w:rPr>
        <w:t xml:space="preserve"> e l’attività di svolgimento del servizio farmaceutico un “servizio” consorziabile</w:t>
      </w:r>
      <w:r w:rsidR="001030ED">
        <w:rPr>
          <w:rFonts w:ascii="Verdana" w:hAnsi="Verdana"/>
          <w:color w:val="000000" w:themeColor="text1"/>
          <w:sz w:val="20"/>
          <w:szCs w:val="20"/>
        </w:rPr>
        <w:t xml:space="preserve">, </w:t>
      </w:r>
      <w:r w:rsidR="00B550C1" w:rsidRPr="004753CD">
        <w:rPr>
          <w:rFonts w:ascii="Verdana" w:hAnsi="Verdana"/>
          <w:color w:val="000000" w:themeColor="text1"/>
          <w:sz w:val="20"/>
          <w:szCs w:val="20"/>
        </w:rPr>
        <w:t xml:space="preserve">occorre </w:t>
      </w:r>
      <w:r w:rsidR="006B7DD0">
        <w:rPr>
          <w:rFonts w:ascii="Verdana" w:hAnsi="Verdana"/>
          <w:color w:val="000000" w:themeColor="text1"/>
          <w:sz w:val="20"/>
          <w:szCs w:val="20"/>
        </w:rPr>
        <w:t>in ogni caso valutare la compatibilità di tale scelta organizzativa</w:t>
      </w:r>
      <w:r w:rsidR="009C17B1" w:rsidRPr="00F10358">
        <w:rPr>
          <w:rFonts w:ascii="Verdana" w:hAnsi="Verdana"/>
          <w:color w:val="000000" w:themeColor="text1"/>
          <w:sz w:val="20"/>
          <w:szCs w:val="20"/>
        </w:rPr>
        <w:t xml:space="preserve"> con </w:t>
      </w:r>
      <w:r w:rsidR="009E2426" w:rsidRPr="00F10358">
        <w:rPr>
          <w:rFonts w:ascii="Verdana" w:hAnsi="Verdana"/>
          <w:color w:val="000000" w:themeColor="text1"/>
          <w:sz w:val="20"/>
          <w:szCs w:val="20"/>
        </w:rPr>
        <w:t xml:space="preserve">il principio di </w:t>
      </w:r>
      <w:r w:rsidR="009C17B1" w:rsidRPr="00F10358">
        <w:rPr>
          <w:rFonts w:ascii="Verdana" w:hAnsi="Verdana"/>
          <w:color w:val="000000" w:themeColor="text1"/>
          <w:sz w:val="20"/>
          <w:szCs w:val="20"/>
        </w:rPr>
        <w:t>proporzionalità</w:t>
      </w:r>
      <w:r w:rsidR="00F117E0">
        <w:rPr>
          <w:rFonts w:ascii="Verdana" w:hAnsi="Verdana"/>
          <w:color w:val="000000" w:themeColor="text1"/>
          <w:sz w:val="20"/>
          <w:szCs w:val="20"/>
        </w:rPr>
        <w:t xml:space="preserve">: occorre cioè scegliere quelle </w:t>
      </w:r>
      <w:r w:rsidR="009C17B1" w:rsidRPr="00F10358">
        <w:rPr>
          <w:rFonts w:ascii="Verdana" w:hAnsi="Verdana"/>
          <w:color w:val="000000" w:themeColor="text1"/>
          <w:sz w:val="20"/>
          <w:szCs w:val="20"/>
        </w:rPr>
        <w:t>fo</w:t>
      </w:r>
      <w:r w:rsidR="00FE345E" w:rsidRPr="00F10358">
        <w:rPr>
          <w:rFonts w:ascii="Verdana" w:hAnsi="Verdana"/>
          <w:color w:val="000000" w:themeColor="text1"/>
          <w:sz w:val="20"/>
          <w:szCs w:val="20"/>
        </w:rPr>
        <w:t>rm</w:t>
      </w:r>
      <w:r w:rsidR="00F117E0">
        <w:rPr>
          <w:rFonts w:ascii="Verdana" w:hAnsi="Verdana"/>
          <w:color w:val="000000" w:themeColor="text1"/>
          <w:sz w:val="20"/>
          <w:szCs w:val="20"/>
        </w:rPr>
        <w:t xml:space="preserve">e di gestione che, nel perseguire lo </w:t>
      </w:r>
      <w:r w:rsidR="00FE345E" w:rsidRPr="00F10358">
        <w:rPr>
          <w:rFonts w:ascii="Verdana" w:hAnsi="Verdana"/>
          <w:color w:val="000000" w:themeColor="text1"/>
          <w:sz w:val="20"/>
          <w:szCs w:val="20"/>
        </w:rPr>
        <w:t>scopo di “organizzazione”</w:t>
      </w:r>
      <w:r w:rsidR="00F117E0">
        <w:rPr>
          <w:rFonts w:ascii="Verdana" w:hAnsi="Verdana"/>
          <w:color w:val="000000" w:themeColor="text1"/>
          <w:sz w:val="20"/>
          <w:szCs w:val="20"/>
        </w:rPr>
        <w:t xml:space="preserve">, favoriscono soluzioni </w:t>
      </w:r>
      <w:r w:rsidR="004B4620" w:rsidRPr="00F10358">
        <w:rPr>
          <w:rFonts w:ascii="Verdana" w:hAnsi="Verdana"/>
          <w:color w:val="000000" w:themeColor="text1"/>
          <w:sz w:val="20"/>
          <w:szCs w:val="20"/>
        </w:rPr>
        <w:t xml:space="preserve">quanto più possibile </w:t>
      </w:r>
      <w:r w:rsidR="00FE345E" w:rsidRPr="00F10358">
        <w:rPr>
          <w:rFonts w:ascii="Verdana" w:hAnsi="Verdana"/>
          <w:color w:val="000000" w:themeColor="text1"/>
          <w:sz w:val="20"/>
          <w:szCs w:val="20"/>
        </w:rPr>
        <w:t>“dirett</w:t>
      </w:r>
      <w:r w:rsidR="004F0964">
        <w:rPr>
          <w:rFonts w:ascii="Verdana" w:hAnsi="Verdana"/>
          <w:color w:val="000000" w:themeColor="text1"/>
          <w:sz w:val="20"/>
          <w:szCs w:val="20"/>
        </w:rPr>
        <w:t>e</w:t>
      </w:r>
      <w:r w:rsidR="00FE345E" w:rsidRPr="00F10358">
        <w:rPr>
          <w:rFonts w:ascii="Verdana" w:hAnsi="Verdana"/>
          <w:color w:val="000000" w:themeColor="text1"/>
          <w:sz w:val="20"/>
          <w:szCs w:val="20"/>
        </w:rPr>
        <w:t xml:space="preserve">”, senza diaframmi giuridici che possono aggravare </w:t>
      </w:r>
      <w:r w:rsidR="004F0964">
        <w:rPr>
          <w:rFonts w:ascii="Verdana" w:hAnsi="Verdana"/>
          <w:color w:val="000000" w:themeColor="text1"/>
          <w:sz w:val="20"/>
          <w:szCs w:val="20"/>
        </w:rPr>
        <w:t xml:space="preserve">inutilmente </w:t>
      </w:r>
      <w:r w:rsidR="00DE2967" w:rsidRPr="00F10358">
        <w:rPr>
          <w:rFonts w:ascii="Verdana" w:hAnsi="Verdana"/>
          <w:color w:val="000000" w:themeColor="text1"/>
          <w:sz w:val="20"/>
          <w:szCs w:val="20"/>
        </w:rPr>
        <w:t>il bilancio</w:t>
      </w:r>
      <w:r w:rsidR="004F0964">
        <w:rPr>
          <w:rFonts w:ascii="Verdana" w:hAnsi="Verdana"/>
          <w:color w:val="000000" w:themeColor="text1"/>
          <w:sz w:val="20"/>
          <w:szCs w:val="20"/>
        </w:rPr>
        <w:t xml:space="preserve">. Tale utilità o inutilità, ovviamente, </w:t>
      </w:r>
      <w:r w:rsidR="00DE2967" w:rsidRPr="00F10358">
        <w:rPr>
          <w:rFonts w:ascii="Verdana" w:hAnsi="Verdana"/>
          <w:color w:val="000000" w:themeColor="text1"/>
          <w:sz w:val="20"/>
          <w:szCs w:val="20"/>
        </w:rPr>
        <w:t>va valutata in fatto, come si evidenziava, nell’esercizio della legittima discrezionalità dell’ente e salva la violazione dei limiti alla stessa.</w:t>
      </w:r>
      <w:r w:rsidR="00FE345E" w:rsidRPr="00F10358">
        <w:rPr>
          <w:rFonts w:ascii="Verdana" w:hAnsi="Verdana"/>
          <w:color w:val="000000" w:themeColor="text1"/>
          <w:sz w:val="20"/>
          <w:szCs w:val="20"/>
        </w:rPr>
        <w:t xml:space="preserve"> </w:t>
      </w:r>
    </w:p>
    <w:p w:rsidR="003020BA" w:rsidRPr="00F10358" w:rsidRDefault="00D739D7" w:rsidP="003020BA">
      <w:pPr>
        <w:spacing w:line="360" w:lineRule="auto"/>
        <w:ind w:firstLine="708"/>
        <w:jc w:val="both"/>
        <w:rPr>
          <w:rFonts w:ascii="Verdana" w:hAnsi="Verdana" w:cs="Verdana"/>
          <w:bCs/>
          <w:iCs/>
          <w:color w:val="000000" w:themeColor="text1"/>
          <w:sz w:val="20"/>
          <w:szCs w:val="20"/>
        </w:rPr>
      </w:pPr>
      <w:r w:rsidRPr="00F10358">
        <w:rPr>
          <w:rFonts w:ascii="Verdana" w:hAnsi="Verdana"/>
          <w:color w:val="000000" w:themeColor="text1"/>
          <w:sz w:val="20"/>
          <w:szCs w:val="20"/>
        </w:rPr>
        <w:t>S</w:t>
      </w:r>
      <w:r w:rsidR="003020BA" w:rsidRPr="00F10358">
        <w:rPr>
          <w:rFonts w:ascii="Verdana" w:hAnsi="Verdana"/>
          <w:color w:val="000000" w:themeColor="text1"/>
          <w:sz w:val="20"/>
          <w:szCs w:val="20"/>
        </w:rPr>
        <w:t>i rammenta</w:t>
      </w:r>
      <w:r w:rsidRPr="00F10358">
        <w:rPr>
          <w:rFonts w:ascii="Verdana" w:hAnsi="Verdana"/>
          <w:color w:val="000000" w:themeColor="text1"/>
          <w:sz w:val="20"/>
          <w:szCs w:val="20"/>
        </w:rPr>
        <w:t>, infatti,</w:t>
      </w:r>
      <w:r w:rsidR="003020BA" w:rsidRPr="00F10358">
        <w:rPr>
          <w:rFonts w:ascii="Verdana" w:hAnsi="Verdana"/>
          <w:color w:val="000000" w:themeColor="text1"/>
          <w:sz w:val="20"/>
          <w:szCs w:val="20"/>
        </w:rPr>
        <w:t xml:space="preserve"> che </w:t>
      </w:r>
      <w:r w:rsidR="003020BA" w:rsidRPr="00F10358">
        <w:rPr>
          <w:rFonts w:ascii="Verdana" w:hAnsi="Verdana" w:cs="Verdana"/>
          <w:bCs/>
          <w:iCs/>
          <w:color w:val="000000" w:themeColor="text1"/>
          <w:sz w:val="20"/>
          <w:szCs w:val="20"/>
        </w:rPr>
        <w:t xml:space="preserve">il Legislatore (art. 1, commi 611-615 della Legge 23 dicembre 2014 n. 190, c.d. Legge di Stabilità 2015), sebbene con riferimento alle società e non agli organi di diritto pubblico, ha individuato alcuni criteri oggettivi per il razionale </w:t>
      </w:r>
      <w:proofErr w:type="spellStart"/>
      <w:r w:rsidR="003020BA" w:rsidRPr="00F10358">
        <w:rPr>
          <w:rFonts w:ascii="Verdana" w:hAnsi="Verdana" w:cs="Verdana"/>
          <w:bCs/>
          <w:iCs/>
          <w:color w:val="000000" w:themeColor="text1"/>
          <w:sz w:val="20"/>
          <w:szCs w:val="20"/>
        </w:rPr>
        <w:t>efficientamento</w:t>
      </w:r>
      <w:proofErr w:type="spellEnd"/>
      <w:r w:rsidR="003020BA" w:rsidRPr="00F10358">
        <w:rPr>
          <w:rFonts w:ascii="Verdana" w:hAnsi="Verdana" w:cs="Verdana"/>
          <w:bCs/>
          <w:iCs/>
          <w:color w:val="000000" w:themeColor="text1"/>
          <w:sz w:val="20"/>
          <w:szCs w:val="20"/>
        </w:rPr>
        <w:t xml:space="preserve"> delle partecipazioni. Tali disposizioni prevedono tra tali criteri razionali l’eliminazione delle partecipazioni e degli organismi</w:t>
      </w:r>
      <w:r w:rsidR="003020BA" w:rsidRPr="00F10358">
        <w:rPr>
          <w:rFonts w:ascii="Verdana" w:hAnsi="Verdana" w:cs="Verdana"/>
          <w:bCs/>
          <w:i/>
          <w:iCs/>
          <w:color w:val="000000" w:themeColor="text1"/>
          <w:sz w:val="20"/>
          <w:szCs w:val="20"/>
        </w:rPr>
        <w:t xml:space="preserve"> “che risultino composte da soli amministratori o da un numero di amministratori superiore a quello dei dipendenti” e </w:t>
      </w:r>
      <w:r w:rsidR="003020BA" w:rsidRPr="00F10358">
        <w:rPr>
          <w:rFonts w:ascii="Verdana" w:hAnsi="Verdana" w:cs="Verdana"/>
          <w:bCs/>
          <w:iCs/>
          <w:color w:val="000000" w:themeColor="text1"/>
          <w:sz w:val="20"/>
          <w:szCs w:val="20"/>
        </w:rPr>
        <w:t>parallelamente il “</w:t>
      </w:r>
      <w:r w:rsidR="003020BA" w:rsidRPr="00F10358">
        <w:rPr>
          <w:rFonts w:ascii="Verdana" w:hAnsi="Verdana" w:cs="Verdana"/>
          <w:bCs/>
          <w:i/>
          <w:iCs/>
          <w:color w:val="000000" w:themeColor="text1"/>
          <w:sz w:val="20"/>
          <w:szCs w:val="20"/>
        </w:rPr>
        <w:t>contenimento dei costi di funzionamento, anche mediante riorganizzazione degli organi amministrativi e di controllo e de</w:t>
      </w:r>
      <w:r w:rsidR="00C067F1">
        <w:rPr>
          <w:rFonts w:ascii="Verdana" w:hAnsi="Verdana" w:cs="Verdana"/>
          <w:bCs/>
          <w:i/>
          <w:iCs/>
          <w:color w:val="000000" w:themeColor="text1"/>
          <w:sz w:val="20"/>
          <w:szCs w:val="20"/>
        </w:rPr>
        <w:t>lle strutture aziendali, n</w:t>
      </w:r>
      <w:bookmarkStart w:id="0" w:name="_GoBack"/>
      <w:bookmarkEnd w:id="0"/>
      <w:r w:rsidR="00C067F1">
        <w:rPr>
          <w:rFonts w:ascii="Verdana" w:hAnsi="Verdana" w:cs="Verdana"/>
          <w:bCs/>
          <w:i/>
          <w:iCs/>
          <w:color w:val="000000" w:themeColor="text1"/>
          <w:sz w:val="20"/>
          <w:szCs w:val="20"/>
        </w:rPr>
        <w:t>onché</w:t>
      </w:r>
      <w:r w:rsidR="003020BA" w:rsidRPr="00F10358">
        <w:rPr>
          <w:rFonts w:ascii="Verdana" w:hAnsi="Verdana" w:cs="Verdana"/>
          <w:bCs/>
          <w:i/>
          <w:iCs/>
          <w:color w:val="000000" w:themeColor="text1"/>
          <w:sz w:val="20"/>
          <w:szCs w:val="20"/>
        </w:rPr>
        <w:t xml:space="preserve"> attraverso la riduzione delle relative remunerazioni</w:t>
      </w:r>
      <w:r w:rsidR="003020BA" w:rsidRPr="00F10358">
        <w:rPr>
          <w:rFonts w:ascii="Verdana" w:hAnsi="Verdana" w:cs="Verdana"/>
          <w:bCs/>
          <w:iCs/>
          <w:color w:val="000000" w:themeColor="text1"/>
          <w:sz w:val="20"/>
          <w:szCs w:val="20"/>
        </w:rPr>
        <w:t>”.</w:t>
      </w:r>
    </w:p>
    <w:p w:rsidR="003F31B5" w:rsidRPr="00F10358" w:rsidRDefault="00F931B7"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b/>
          <w:bCs/>
          <w:color w:val="000000" w:themeColor="text1"/>
          <w:sz w:val="20"/>
          <w:szCs w:val="20"/>
        </w:rPr>
        <w:lastRenderedPageBreak/>
        <w:t>5</w:t>
      </w:r>
      <w:r w:rsidR="00F862C2" w:rsidRPr="00F10358">
        <w:rPr>
          <w:rFonts w:ascii="Verdana" w:hAnsi="Verdana"/>
          <w:b/>
          <w:bCs/>
          <w:color w:val="000000" w:themeColor="text1"/>
          <w:sz w:val="20"/>
          <w:szCs w:val="20"/>
        </w:rPr>
        <w:t xml:space="preserve">. </w:t>
      </w:r>
      <w:r w:rsidR="003F31B5" w:rsidRPr="00F10358">
        <w:rPr>
          <w:rFonts w:ascii="Verdana" w:hAnsi="Verdana"/>
          <w:b/>
          <w:bCs/>
          <w:color w:val="000000" w:themeColor="text1"/>
          <w:sz w:val="20"/>
          <w:szCs w:val="20"/>
        </w:rPr>
        <w:t xml:space="preserve">La costituzione della società mista </w:t>
      </w:r>
      <w:r w:rsidR="003B4079">
        <w:rPr>
          <w:rFonts w:ascii="Verdana" w:hAnsi="Verdana"/>
          <w:b/>
          <w:bCs/>
          <w:color w:val="000000" w:themeColor="text1"/>
          <w:sz w:val="20"/>
          <w:szCs w:val="20"/>
        </w:rPr>
        <w:t>INCOFARMA</w:t>
      </w:r>
      <w:r w:rsidR="003F31B5" w:rsidRPr="00F10358">
        <w:rPr>
          <w:rFonts w:ascii="Verdana" w:hAnsi="Verdana"/>
          <w:b/>
          <w:bCs/>
          <w:color w:val="000000" w:themeColor="text1"/>
          <w:sz w:val="20"/>
          <w:szCs w:val="20"/>
        </w:rPr>
        <w:t xml:space="preserve"> e la clausola dell’obbligo di conferimento automatico delle licenze </w:t>
      </w:r>
      <w:proofErr w:type="spellStart"/>
      <w:r w:rsidR="003F31B5" w:rsidRPr="00F10358">
        <w:rPr>
          <w:rFonts w:ascii="Verdana" w:hAnsi="Verdana"/>
          <w:b/>
          <w:bCs/>
          <w:color w:val="000000" w:themeColor="text1"/>
          <w:sz w:val="20"/>
          <w:szCs w:val="20"/>
        </w:rPr>
        <w:t>prelazionate</w:t>
      </w:r>
      <w:proofErr w:type="spellEnd"/>
      <w:r w:rsidR="003F31B5" w:rsidRPr="00F10358">
        <w:rPr>
          <w:rFonts w:ascii="Verdana" w:hAnsi="Verdana"/>
          <w:b/>
          <w:bCs/>
          <w:color w:val="000000" w:themeColor="text1"/>
          <w:sz w:val="20"/>
          <w:szCs w:val="20"/>
        </w:rPr>
        <w:t xml:space="preserve"> dai comuni consorziati. </w:t>
      </w:r>
      <w:r w:rsidR="003F31B5" w:rsidRPr="00F10358">
        <w:rPr>
          <w:rFonts w:ascii="Verdana" w:hAnsi="Verdana"/>
          <w:color w:val="000000" w:themeColor="text1"/>
          <w:sz w:val="20"/>
          <w:szCs w:val="20"/>
        </w:rPr>
        <w:t xml:space="preserve">In virtù del già citato art. 3 dello Statuto, </w:t>
      </w:r>
      <w:r w:rsidR="005341E2" w:rsidRPr="00F10358">
        <w:rPr>
          <w:rFonts w:ascii="Verdana" w:hAnsi="Verdana"/>
          <w:color w:val="000000" w:themeColor="text1"/>
          <w:sz w:val="20"/>
          <w:szCs w:val="20"/>
        </w:rPr>
        <w:t xml:space="preserve">a pochi mesi dalla costituzione del CISS, </w:t>
      </w:r>
      <w:r w:rsidR="003F31B5" w:rsidRPr="00F10358">
        <w:rPr>
          <w:rFonts w:ascii="Verdana" w:hAnsi="Verdana"/>
          <w:color w:val="000000" w:themeColor="text1"/>
          <w:sz w:val="20"/>
          <w:szCs w:val="20"/>
        </w:rPr>
        <w:t xml:space="preserve">in data 17 febbraio 2005 è stata costituita la citata </w:t>
      </w:r>
      <w:r w:rsidR="003B4079">
        <w:rPr>
          <w:rFonts w:ascii="Verdana" w:hAnsi="Verdana"/>
          <w:color w:val="000000" w:themeColor="text1"/>
          <w:sz w:val="20"/>
          <w:szCs w:val="20"/>
        </w:rPr>
        <w:t>INCOFARMA</w:t>
      </w:r>
      <w:r w:rsidR="003F31B5" w:rsidRPr="00F10358">
        <w:rPr>
          <w:rFonts w:ascii="Verdana" w:hAnsi="Verdana"/>
          <w:color w:val="000000" w:themeColor="text1"/>
          <w:sz w:val="20"/>
          <w:szCs w:val="20"/>
        </w:rPr>
        <w:t xml:space="preserve">, società mista di diritto privato, partecipata dal CISS al 25% mentre la restante parte del capitale (75%) è detenuta dal socio privato, SOC.I.GESS </w:t>
      </w:r>
      <w:proofErr w:type="spellStart"/>
      <w:r w:rsidR="003F31B5" w:rsidRPr="00F10358">
        <w:rPr>
          <w:rFonts w:ascii="Verdana" w:hAnsi="Verdana"/>
          <w:color w:val="000000" w:themeColor="text1"/>
          <w:sz w:val="20"/>
          <w:szCs w:val="20"/>
        </w:rPr>
        <w:t>s.p.a.</w:t>
      </w:r>
      <w:proofErr w:type="spellEnd"/>
      <w:r w:rsidR="003F31B5" w:rsidRPr="00F10358">
        <w:rPr>
          <w:rFonts w:ascii="Verdana" w:hAnsi="Verdana"/>
          <w:color w:val="000000" w:themeColor="text1"/>
          <w:sz w:val="20"/>
          <w:szCs w:val="20"/>
        </w:rPr>
        <w:t>, scelto mediante procedura ad evidenza pubblica</w:t>
      </w:r>
      <w:r w:rsidR="00B92E0C" w:rsidRPr="00F10358">
        <w:rPr>
          <w:rFonts w:ascii="Verdana" w:hAnsi="Verdana"/>
          <w:color w:val="000000" w:themeColor="text1"/>
          <w:sz w:val="20"/>
          <w:szCs w:val="20"/>
        </w:rPr>
        <w:t>.</w:t>
      </w:r>
      <w:r w:rsidR="003F31B5" w:rsidRPr="00F10358">
        <w:rPr>
          <w:rFonts w:ascii="Verdana" w:hAnsi="Verdana"/>
          <w:color w:val="000000" w:themeColor="text1"/>
          <w:sz w:val="20"/>
          <w:szCs w:val="20"/>
        </w:rPr>
        <w:t xml:space="preserve"> </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 xml:space="preserve">A tal uopo, l’allora Presidente del Consorzio nominava, con determina n. 3 del 12.07.2004, </w:t>
      </w:r>
      <w:r w:rsidRPr="00F10358">
        <w:rPr>
          <w:rFonts w:ascii="Verdana" w:hAnsi="Verdana"/>
          <w:bCs/>
          <w:color w:val="000000" w:themeColor="text1"/>
          <w:sz w:val="20"/>
          <w:szCs w:val="20"/>
        </w:rPr>
        <w:t>(cfr. allegato n° 3, recato dal Comune di Gricignano d’Aversa con relazione del CISS)</w:t>
      </w:r>
      <w:r w:rsidR="002A5E6C" w:rsidRPr="00F10358">
        <w:rPr>
          <w:rFonts w:ascii="Verdana" w:hAnsi="Verdana"/>
          <w:bCs/>
          <w:color w:val="000000" w:themeColor="text1"/>
          <w:sz w:val="20"/>
          <w:szCs w:val="20"/>
        </w:rPr>
        <w:t>,</w:t>
      </w:r>
      <w:r w:rsidRPr="00F10358">
        <w:rPr>
          <w:rFonts w:ascii="Verdana" w:hAnsi="Verdana"/>
          <w:color w:val="000000" w:themeColor="text1"/>
          <w:sz w:val="20"/>
          <w:szCs w:val="20"/>
        </w:rPr>
        <w:t xml:space="preserve"> </w:t>
      </w:r>
      <w:r w:rsidRPr="00F10358">
        <w:rPr>
          <w:rFonts w:ascii="Verdana" w:hAnsi="Verdana"/>
          <w:bCs/>
          <w:color w:val="000000" w:themeColor="text1"/>
          <w:sz w:val="20"/>
          <w:szCs w:val="20"/>
        </w:rPr>
        <w:t>il già segretario del C.SS</w:t>
      </w:r>
      <w:r w:rsidRPr="00F10358">
        <w:rPr>
          <w:rFonts w:ascii="Verdana" w:hAnsi="Verdana"/>
          <w:color w:val="000000" w:themeColor="text1"/>
          <w:sz w:val="20"/>
          <w:szCs w:val="20"/>
        </w:rPr>
        <w:t xml:space="preserve"> quale responsabile unico del procedimento ad evidenza pubblica che si sarebbe svolto, attribuendo a quest’ultimo le relative funzioni.</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bCs/>
          <w:color w:val="000000" w:themeColor="text1"/>
          <w:sz w:val="20"/>
          <w:szCs w:val="20"/>
        </w:rPr>
        <w:t>Per la gara si sceglieva, come metodo di selezione pubblica, la procedura ristretta con termini abbreviati,</w:t>
      </w:r>
      <w:r w:rsidRPr="00F10358">
        <w:rPr>
          <w:rFonts w:ascii="Verdana" w:hAnsi="Verdana"/>
          <w:color w:val="000000" w:themeColor="text1"/>
          <w:sz w:val="20"/>
          <w:szCs w:val="20"/>
        </w:rPr>
        <w:t xml:space="preserve"> </w:t>
      </w:r>
      <w:r w:rsidRPr="00F10358">
        <w:rPr>
          <w:rFonts w:ascii="Verdana" w:hAnsi="Verdana"/>
          <w:bCs/>
          <w:color w:val="000000" w:themeColor="text1"/>
          <w:sz w:val="20"/>
          <w:szCs w:val="20"/>
        </w:rPr>
        <w:t>assimilabile all’appalto concorso di cui al D.lgs</w:t>
      </w:r>
      <w:r w:rsidR="005C2D25">
        <w:rPr>
          <w:rFonts w:ascii="Verdana" w:hAnsi="Verdana"/>
          <w:bCs/>
          <w:color w:val="000000" w:themeColor="text1"/>
          <w:sz w:val="20"/>
          <w:szCs w:val="20"/>
        </w:rPr>
        <w:t>.</w:t>
      </w:r>
      <w:r w:rsidRPr="00F10358">
        <w:rPr>
          <w:rFonts w:ascii="Verdana" w:hAnsi="Verdana"/>
          <w:bCs/>
          <w:color w:val="000000" w:themeColor="text1"/>
          <w:sz w:val="20"/>
          <w:szCs w:val="20"/>
        </w:rPr>
        <w:t xml:space="preserve"> </w:t>
      </w:r>
      <w:r w:rsidR="00B66F0E" w:rsidRPr="00F10358">
        <w:rPr>
          <w:rFonts w:ascii="Verdana" w:hAnsi="Verdana"/>
          <w:bCs/>
          <w:color w:val="000000" w:themeColor="text1"/>
          <w:sz w:val="20"/>
          <w:szCs w:val="20"/>
        </w:rPr>
        <w:t xml:space="preserve">n. </w:t>
      </w:r>
      <w:r w:rsidRPr="00F10358">
        <w:rPr>
          <w:rFonts w:ascii="Verdana" w:hAnsi="Verdana"/>
          <w:bCs/>
          <w:color w:val="000000" w:themeColor="text1"/>
          <w:sz w:val="20"/>
          <w:szCs w:val="20"/>
        </w:rPr>
        <w:t xml:space="preserve">157/1995 (allora vigente), </w:t>
      </w:r>
      <w:r w:rsidRPr="00F10358">
        <w:rPr>
          <w:rFonts w:ascii="Verdana" w:hAnsi="Verdana"/>
          <w:color w:val="000000" w:themeColor="text1"/>
          <w:sz w:val="20"/>
          <w:szCs w:val="20"/>
        </w:rPr>
        <w:t xml:space="preserve">con il criterio dell’offerta economicamente più vantaggiosa. Nel capitolato d’oneri si legge che «[…] </w:t>
      </w:r>
      <w:r w:rsidRPr="00F10358">
        <w:rPr>
          <w:rFonts w:ascii="Verdana" w:hAnsi="Verdana"/>
          <w:i/>
          <w:iCs/>
          <w:color w:val="000000" w:themeColor="text1"/>
          <w:sz w:val="20"/>
          <w:szCs w:val="20"/>
        </w:rPr>
        <w:t xml:space="preserve">L'appalto non è quantificabile in termini economici, né vi è un corrispettivo da parte del Consorzio, ma è stabilito che il Socio Privato dovrà versare un canone massimo previsto in € 600,00 per singola farmacia per ogni mese di contratto e per tutte le otto farmacie e per l'intero periodo - trenta anni-. </w:t>
      </w:r>
      <w:r w:rsidRPr="00F10358">
        <w:rPr>
          <w:rFonts w:ascii="Verdana" w:hAnsi="Verdana"/>
          <w:color w:val="000000" w:themeColor="text1"/>
          <w:sz w:val="20"/>
          <w:szCs w:val="20"/>
        </w:rPr>
        <w:t xml:space="preserve">[…] </w:t>
      </w:r>
      <w:r w:rsidRPr="00F10358">
        <w:rPr>
          <w:rFonts w:ascii="Verdana" w:hAnsi="Verdana"/>
          <w:bCs/>
          <w:i/>
          <w:iCs/>
          <w:color w:val="000000" w:themeColor="text1"/>
          <w:sz w:val="20"/>
          <w:szCs w:val="20"/>
        </w:rPr>
        <w:t xml:space="preserve">I partecipanti alla gara, su tale importo, dovranno presentare la loro offerta in diminuzione, non sono ammesse offerte in aumento </w:t>
      </w:r>
      <w:r w:rsidRPr="00F10358">
        <w:rPr>
          <w:rFonts w:ascii="Verdana" w:hAnsi="Verdana"/>
          <w:color w:val="000000" w:themeColor="text1"/>
          <w:sz w:val="20"/>
          <w:szCs w:val="20"/>
        </w:rPr>
        <w:t>[…]</w:t>
      </w:r>
      <w:r w:rsidRPr="00F10358">
        <w:rPr>
          <w:rFonts w:ascii="Verdana" w:hAnsi="Verdana"/>
          <w:i/>
          <w:iCs/>
          <w:color w:val="000000" w:themeColor="text1"/>
          <w:sz w:val="20"/>
          <w:szCs w:val="20"/>
        </w:rPr>
        <w:t>. Il Canone offerto, sarà versato dal socio privato, quale quota extra e indipendentemente dagli utili della Società mista […]»</w:t>
      </w:r>
      <w:r w:rsidRPr="00F10358">
        <w:rPr>
          <w:rFonts w:ascii="Verdana" w:hAnsi="Verdana"/>
          <w:color w:val="000000" w:themeColor="text1"/>
          <w:sz w:val="20"/>
          <w:szCs w:val="20"/>
        </w:rPr>
        <w:t>.</w:t>
      </w:r>
    </w:p>
    <w:p w:rsidR="003F31B5" w:rsidRPr="00F10358" w:rsidRDefault="003F31B5" w:rsidP="003F31B5">
      <w:pPr>
        <w:shd w:val="clear" w:color="auto" w:fill="FEFFFF"/>
        <w:spacing w:line="360" w:lineRule="auto"/>
        <w:ind w:firstLine="354"/>
        <w:jc w:val="both"/>
        <w:rPr>
          <w:rFonts w:ascii="Verdana" w:eastAsia="Verdana" w:hAnsi="Verdana" w:cs="Verdana"/>
          <w:bCs/>
          <w:color w:val="000000" w:themeColor="text1"/>
          <w:sz w:val="20"/>
          <w:szCs w:val="20"/>
        </w:rPr>
      </w:pPr>
      <w:r w:rsidRPr="00F10358">
        <w:rPr>
          <w:rFonts w:ascii="Verdana" w:hAnsi="Verdana"/>
          <w:color w:val="000000" w:themeColor="text1"/>
          <w:sz w:val="20"/>
          <w:szCs w:val="20"/>
        </w:rPr>
        <w:t xml:space="preserve">Il R.U.P., quindi, con determina n. 1/2004 </w:t>
      </w:r>
      <w:r w:rsidRPr="00F10358">
        <w:rPr>
          <w:rFonts w:ascii="Verdana" w:hAnsi="Verdana"/>
          <w:bCs/>
          <w:color w:val="000000" w:themeColor="text1"/>
          <w:sz w:val="20"/>
          <w:szCs w:val="20"/>
        </w:rPr>
        <w:t>(cfr. allegato n° 3, sopra cit.)</w:t>
      </w:r>
      <w:r w:rsidRPr="00F10358">
        <w:rPr>
          <w:rFonts w:ascii="Verdana" w:hAnsi="Verdana"/>
          <w:color w:val="000000" w:themeColor="text1"/>
          <w:sz w:val="20"/>
          <w:szCs w:val="20"/>
        </w:rPr>
        <w:t xml:space="preserve"> approvava il Bando di Gara, la lettera di invito, il capitolato d’oneri (secondo cui ogni candidato socio finanziario e operativo avrebbe dovuto presentare un piano economico-finanziario di sviluppo) e lo schema dell’atto costitutivo della costituenda società con relativi allegati per la gestione delle sedi farmaceutiche comunali da istituire.</w:t>
      </w:r>
      <w:r w:rsidR="00C133BC" w:rsidRPr="00F10358">
        <w:rPr>
          <w:rFonts w:ascii="Verdana" w:hAnsi="Verdana"/>
          <w:color w:val="000000" w:themeColor="text1"/>
          <w:sz w:val="20"/>
          <w:szCs w:val="20"/>
        </w:rPr>
        <w:t xml:space="preserve"> </w:t>
      </w:r>
      <w:r w:rsidR="00D35E12">
        <w:rPr>
          <w:rFonts w:ascii="Verdana" w:hAnsi="Verdana"/>
          <w:color w:val="000000" w:themeColor="text1"/>
          <w:sz w:val="20"/>
          <w:szCs w:val="20"/>
        </w:rPr>
        <w:t>Nel corso del contraddittorio, i soggetti controllati</w:t>
      </w:r>
      <w:r w:rsidR="00C133BC" w:rsidRPr="00F10358">
        <w:rPr>
          <w:rFonts w:ascii="Verdana" w:hAnsi="Verdana"/>
          <w:color w:val="000000" w:themeColor="text1"/>
          <w:sz w:val="20"/>
          <w:szCs w:val="20"/>
        </w:rPr>
        <w:t>, alla luce della giurisprudenza successiva</w:t>
      </w:r>
      <w:r w:rsidR="00D35E12">
        <w:rPr>
          <w:rFonts w:ascii="Verdana" w:hAnsi="Verdana"/>
          <w:color w:val="000000" w:themeColor="text1"/>
          <w:sz w:val="20"/>
          <w:szCs w:val="20"/>
        </w:rPr>
        <w:t xml:space="preserve"> sul “doppio oggetto” (Ad. </w:t>
      </w:r>
      <w:proofErr w:type="spellStart"/>
      <w:r w:rsidR="00D35E12">
        <w:rPr>
          <w:rFonts w:ascii="Verdana" w:hAnsi="Verdana"/>
          <w:color w:val="000000" w:themeColor="text1"/>
          <w:sz w:val="20"/>
          <w:szCs w:val="20"/>
        </w:rPr>
        <w:t>Plen</w:t>
      </w:r>
      <w:proofErr w:type="spellEnd"/>
      <w:r w:rsidR="00D35E12">
        <w:rPr>
          <w:rFonts w:ascii="Verdana" w:hAnsi="Verdana"/>
          <w:color w:val="000000" w:themeColor="text1"/>
          <w:sz w:val="20"/>
          <w:szCs w:val="20"/>
        </w:rPr>
        <w:t>. n. 1/2008)</w:t>
      </w:r>
      <w:r w:rsidR="00C133BC" w:rsidRPr="00F10358">
        <w:rPr>
          <w:rFonts w:ascii="Verdana" w:hAnsi="Verdana"/>
          <w:color w:val="000000" w:themeColor="text1"/>
          <w:sz w:val="20"/>
          <w:szCs w:val="20"/>
        </w:rPr>
        <w:t xml:space="preserve">, </w:t>
      </w:r>
      <w:r w:rsidR="002E4EDF">
        <w:rPr>
          <w:rFonts w:ascii="Verdana" w:hAnsi="Verdana"/>
          <w:color w:val="000000" w:themeColor="text1"/>
          <w:sz w:val="20"/>
          <w:szCs w:val="20"/>
        </w:rPr>
        <w:t xml:space="preserve">hanno evidenziato </w:t>
      </w:r>
      <w:r w:rsidR="00C133BC" w:rsidRPr="00F10358">
        <w:rPr>
          <w:rFonts w:ascii="Verdana" w:hAnsi="Verdana"/>
          <w:color w:val="000000" w:themeColor="text1"/>
          <w:sz w:val="20"/>
          <w:szCs w:val="20"/>
        </w:rPr>
        <w:t>la circostanza che i</w:t>
      </w:r>
      <w:r w:rsidRPr="00F10358">
        <w:rPr>
          <w:rFonts w:ascii="Verdana" w:hAnsi="Verdana"/>
          <w:color w:val="000000" w:themeColor="text1"/>
          <w:sz w:val="20"/>
          <w:szCs w:val="20"/>
        </w:rPr>
        <w:t>l bando di gara prevedeva, quali criteri di assegnazione, una parte economica e una parte tecnico-finanziaria, dove oltre ai requisiti finanziari, si misurava la capacità gestionale ed operativa dei candidati (art. 14).</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Alla chiusura dei termini, il Consorzio riceveva</w:t>
      </w:r>
      <w:r w:rsidRPr="00F10358">
        <w:rPr>
          <w:rFonts w:ascii="Verdana" w:hAnsi="Verdana"/>
          <w:bCs/>
          <w:color w:val="000000" w:themeColor="text1"/>
          <w:sz w:val="20"/>
          <w:szCs w:val="20"/>
        </w:rPr>
        <w:t xml:space="preserve"> </w:t>
      </w:r>
      <w:r w:rsidRPr="00F10358">
        <w:rPr>
          <w:rFonts w:ascii="Verdana" w:hAnsi="Verdana"/>
          <w:color w:val="000000" w:themeColor="text1"/>
          <w:sz w:val="20"/>
          <w:szCs w:val="20"/>
        </w:rPr>
        <w:t>4 richieste di invito a partecipare alla gara, poi regolarmente riscontrate dal CISS. Cionondimeno – a seguito dell’invito –</w:t>
      </w:r>
      <w:r w:rsidRPr="00F10358">
        <w:rPr>
          <w:rFonts w:ascii="Verdana" w:hAnsi="Verdana"/>
          <w:bCs/>
          <w:color w:val="000000" w:themeColor="text1"/>
          <w:sz w:val="20"/>
          <w:szCs w:val="20"/>
        </w:rPr>
        <w:t xml:space="preserve"> solo la SOCIGESS S.p.A.</w:t>
      </w:r>
      <w:r w:rsidRPr="00F10358">
        <w:rPr>
          <w:rFonts w:ascii="Verdana" w:hAnsi="Verdana"/>
          <w:color w:val="000000" w:themeColor="text1"/>
          <w:sz w:val="20"/>
          <w:szCs w:val="20"/>
        </w:rPr>
        <w:t xml:space="preserve"> </w:t>
      </w:r>
      <w:r w:rsidRPr="00F10358">
        <w:rPr>
          <w:rFonts w:ascii="Verdana" w:hAnsi="Verdana"/>
          <w:bCs/>
          <w:color w:val="000000" w:themeColor="text1"/>
          <w:sz w:val="20"/>
          <w:szCs w:val="20"/>
        </w:rPr>
        <w:t>presentava la propria offerta entro il termine di presentazione fissato</w:t>
      </w:r>
      <w:r w:rsidRPr="00F10358">
        <w:rPr>
          <w:rFonts w:ascii="Verdana" w:hAnsi="Verdana"/>
          <w:color w:val="000000" w:themeColor="text1"/>
          <w:sz w:val="20"/>
          <w:szCs w:val="20"/>
        </w:rPr>
        <w:t xml:space="preserve">. A seguito dell’aggiudicazione, quest’ultima, il cui assetto proprietario è riportato nella Tabella B, diventava socia al 75% di </w:t>
      </w:r>
      <w:r w:rsidR="003B4079">
        <w:rPr>
          <w:rFonts w:ascii="Verdana" w:hAnsi="Verdana"/>
          <w:color w:val="000000" w:themeColor="text1"/>
          <w:sz w:val="20"/>
          <w:szCs w:val="20"/>
        </w:rPr>
        <w:t>INCOFARMA</w:t>
      </w:r>
      <w:r w:rsidRPr="00F10358">
        <w:rPr>
          <w:rFonts w:ascii="Verdana" w:hAnsi="Verdana"/>
          <w:color w:val="000000" w:themeColor="text1"/>
          <w:sz w:val="20"/>
          <w:szCs w:val="20"/>
        </w:rPr>
        <w:t xml:space="preserve"> spa.</w:t>
      </w:r>
    </w:p>
    <w:p w:rsidR="003F31B5" w:rsidRPr="00F10358" w:rsidRDefault="003F31B5" w:rsidP="003F31B5">
      <w:pPr>
        <w:shd w:val="clear" w:color="auto" w:fill="FEFFFF"/>
        <w:spacing w:line="360" w:lineRule="auto"/>
        <w:jc w:val="both"/>
        <w:rPr>
          <w:rFonts w:ascii="Verdana" w:eastAsia="Verdana" w:hAnsi="Verdana" w:cs="Verdana"/>
          <w:color w:val="000000" w:themeColor="text1"/>
          <w:sz w:val="20"/>
          <w:szCs w:val="20"/>
        </w:rPr>
      </w:pPr>
    </w:p>
    <w:p w:rsidR="003F31B5" w:rsidRPr="00F10358" w:rsidRDefault="00C133BC" w:rsidP="003F31B5">
      <w:pPr>
        <w:widowControl w:val="0"/>
        <w:shd w:val="clear" w:color="auto" w:fill="FEFFFF"/>
        <w:spacing w:line="360" w:lineRule="auto"/>
        <w:ind w:firstLine="354"/>
        <w:jc w:val="both"/>
        <w:outlineLvl w:val="0"/>
        <w:rPr>
          <w:rFonts w:ascii="Verdana" w:eastAsia="Verdana" w:hAnsi="Verdana" w:cs="Verdana"/>
          <w:color w:val="000000" w:themeColor="text1"/>
          <w:sz w:val="20"/>
          <w:szCs w:val="20"/>
        </w:rPr>
      </w:pPr>
      <w:r w:rsidRPr="00F10358">
        <w:rPr>
          <w:rFonts w:ascii="Verdana" w:hAnsi="Verdana"/>
          <w:color w:val="000000" w:themeColor="text1"/>
          <w:sz w:val="20"/>
          <w:szCs w:val="20"/>
        </w:rPr>
        <w:t>Tabella C</w:t>
      </w:r>
      <w:r w:rsidR="003F31B5" w:rsidRPr="00F10358">
        <w:rPr>
          <w:rFonts w:ascii="Verdana" w:hAnsi="Verdana"/>
          <w:color w:val="000000" w:themeColor="text1"/>
          <w:sz w:val="20"/>
          <w:szCs w:val="20"/>
        </w:rPr>
        <w:t>. Assetto proprietario del socio privato. Fonte: Camere di Commercio</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85"/>
        <w:gridCol w:w="1446"/>
        <w:gridCol w:w="1633"/>
        <w:gridCol w:w="1448"/>
        <w:gridCol w:w="1441"/>
        <w:gridCol w:w="1779"/>
      </w:tblGrid>
      <w:tr w:rsidR="003F31B5" w:rsidRPr="00F63A96" w:rsidTr="00531E57">
        <w:trPr>
          <w:trHeight w:val="250"/>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rPr>
                <w:color w:val="000000" w:themeColor="text1"/>
              </w:rPr>
            </w:pPr>
          </w:p>
        </w:tc>
        <w:tc>
          <w:tcPr>
            <w:tcW w:w="77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F63A96" w:rsidRDefault="003F31B5" w:rsidP="00531E57">
            <w:pPr>
              <w:jc w:val="center"/>
              <w:rPr>
                <w:color w:val="000000" w:themeColor="text1"/>
              </w:rPr>
            </w:pPr>
            <w:r w:rsidRPr="00F63A96">
              <w:rPr>
                <w:b/>
                <w:bCs/>
                <w:color w:val="000000" w:themeColor="text1"/>
                <w:sz w:val="22"/>
                <w:szCs w:val="22"/>
              </w:rPr>
              <w:t>SOC.I.GE.SS</w:t>
            </w:r>
          </w:p>
        </w:tc>
      </w:tr>
      <w:tr w:rsidR="003F31B5" w:rsidRPr="00F63A96" w:rsidTr="00531E57">
        <w:trPr>
          <w:trHeight w:val="1202"/>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r w:rsidRPr="00663A5E">
              <w:rPr>
                <w:b/>
                <w:bCs/>
                <w:color w:val="000000" w:themeColor="text1"/>
                <w:sz w:val="22"/>
                <w:szCs w:val="22"/>
              </w:rPr>
              <w:lastRenderedPageBreak/>
              <w:t>Assetto proprietario di SOC.I.GE.SS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8"/>
                <w:szCs w:val="18"/>
              </w:rPr>
            </w:pPr>
            <w:r w:rsidRPr="00663A5E">
              <w:rPr>
                <w:color w:val="000000" w:themeColor="text1"/>
                <w:sz w:val="18"/>
                <w:szCs w:val="18"/>
              </w:rPr>
              <w:t>MAGES S.R.L. 4</w:t>
            </w:r>
            <w:r w:rsidR="003F729F" w:rsidRPr="00663A5E">
              <w:rPr>
                <w:color w:val="000000" w:themeColor="text1"/>
                <w:sz w:val="18"/>
                <w:szCs w:val="18"/>
              </w:rPr>
              <w:t>6</w:t>
            </w:r>
            <w:r w:rsidRPr="00663A5E">
              <w:rPr>
                <w:color w:val="000000" w:themeColor="text1"/>
                <w:sz w:val="18"/>
                <w:szCs w:val="18"/>
              </w:rPr>
              <w:t>,</w:t>
            </w:r>
            <w:r w:rsidR="003F729F" w:rsidRPr="00663A5E">
              <w:rPr>
                <w:color w:val="000000" w:themeColor="text1"/>
                <w:sz w:val="18"/>
                <w:szCs w:val="18"/>
              </w:rPr>
              <w:t xml:space="preserve"> </w:t>
            </w:r>
            <w:r w:rsidRPr="00663A5E">
              <w:rPr>
                <w:color w:val="000000" w:themeColor="text1"/>
                <w:sz w:val="18"/>
                <w:szCs w:val="18"/>
              </w:rPr>
              <w:t>1</w:t>
            </w:r>
            <w:r w:rsidR="003F729F" w:rsidRPr="00663A5E">
              <w:rPr>
                <w:color w:val="000000" w:themeColor="text1"/>
                <w:sz w:val="18"/>
                <w:szCs w:val="18"/>
              </w:rPr>
              <w:t>8</w:t>
            </w:r>
            <w:r w:rsidRPr="00663A5E">
              <w:rPr>
                <w:color w:val="000000" w:themeColor="text1"/>
                <w:sz w:val="18"/>
                <w:szCs w:val="18"/>
              </w:rPr>
              <w:t>%</w:t>
            </w:r>
          </w:p>
          <w:p w:rsidR="003F31B5" w:rsidRPr="00663A5E" w:rsidRDefault="003F31B5" w:rsidP="00531E57">
            <w:pPr>
              <w:jc w:val="center"/>
              <w:rPr>
                <w:i/>
                <w:iCs/>
                <w:color w:val="000000" w:themeColor="text1"/>
                <w:sz w:val="18"/>
                <w:szCs w:val="18"/>
              </w:rPr>
            </w:pPr>
            <w:r w:rsidRPr="00663A5E">
              <w:rPr>
                <w:i/>
                <w:iCs/>
                <w:color w:val="000000" w:themeColor="text1"/>
                <w:sz w:val="18"/>
                <w:szCs w:val="18"/>
              </w:rPr>
              <w:t>(</w:t>
            </w:r>
            <w:proofErr w:type="gramStart"/>
            <w:r w:rsidRPr="00663A5E">
              <w:rPr>
                <w:i/>
                <w:iCs/>
                <w:color w:val="000000" w:themeColor="text1"/>
                <w:sz w:val="18"/>
                <w:szCs w:val="18"/>
              </w:rPr>
              <w:t>societ</w:t>
            </w:r>
            <w:r w:rsidRPr="00663A5E">
              <w:rPr>
                <w:rFonts w:hAnsi="Times New Roman"/>
                <w:i/>
                <w:iCs/>
                <w:color w:val="000000" w:themeColor="text1"/>
                <w:sz w:val="18"/>
                <w:szCs w:val="18"/>
              </w:rPr>
              <w:t>à</w:t>
            </w:r>
            <w:proofErr w:type="gramEnd"/>
            <w:r w:rsidRPr="00663A5E">
              <w:rPr>
                <w:rFonts w:hAnsi="Times New Roman"/>
                <w:i/>
                <w:iCs/>
                <w:color w:val="000000" w:themeColor="text1"/>
                <w:sz w:val="18"/>
                <w:szCs w:val="18"/>
              </w:rPr>
              <w:t xml:space="preserve"> </w:t>
            </w:r>
            <w:r w:rsidRPr="00663A5E">
              <w:rPr>
                <w:i/>
                <w:iCs/>
                <w:color w:val="000000" w:themeColor="text1"/>
                <w:sz w:val="18"/>
                <w:szCs w:val="18"/>
              </w:rPr>
              <w:t>inattiva)</w:t>
            </w:r>
          </w:p>
          <w:p w:rsidR="003F31B5" w:rsidRPr="00663A5E" w:rsidRDefault="003F31B5" w:rsidP="00531E57">
            <w:pPr>
              <w:jc w:val="center"/>
              <w:rPr>
                <w:b/>
                <w:bCs/>
                <w:color w:val="000000" w:themeColor="text1"/>
                <w:sz w:val="18"/>
                <w:szCs w:val="18"/>
              </w:rPr>
            </w:pPr>
          </w:p>
          <w:p w:rsidR="003F31B5" w:rsidRPr="00663A5E" w:rsidRDefault="003F31B5" w:rsidP="00531E57">
            <w:pPr>
              <w:jc w:val="center"/>
              <w:rPr>
                <w:color w:val="000000" w:themeColor="text1"/>
              </w:rPr>
            </w:pPr>
            <w:r w:rsidRPr="00663A5E">
              <w:rPr>
                <w:rFonts w:hAnsi="Times New Roman"/>
                <w:b/>
                <w:bCs/>
                <w:color w:val="000000" w:themeColor="text1"/>
                <w:sz w:val="18"/>
                <w:szCs w:val="18"/>
              </w:rPr>
              <w:t>↓</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8"/>
                <w:szCs w:val="18"/>
              </w:rPr>
            </w:pPr>
            <w:r w:rsidRPr="00663A5E">
              <w:rPr>
                <w:color w:val="000000" w:themeColor="text1"/>
                <w:sz w:val="18"/>
                <w:szCs w:val="18"/>
              </w:rPr>
              <w:t>GESS S.R.L.</w:t>
            </w:r>
          </w:p>
          <w:p w:rsidR="003F31B5" w:rsidRPr="00663A5E" w:rsidRDefault="003F31B5" w:rsidP="00531E57">
            <w:pPr>
              <w:rPr>
                <w:color w:val="000000" w:themeColor="text1"/>
                <w:sz w:val="18"/>
                <w:szCs w:val="18"/>
              </w:rPr>
            </w:pPr>
            <w:r w:rsidRPr="00663A5E">
              <w:rPr>
                <w:color w:val="000000" w:themeColor="text1"/>
                <w:sz w:val="18"/>
                <w:szCs w:val="18"/>
              </w:rPr>
              <w:t xml:space="preserve"> 45,45%</w:t>
            </w:r>
          </w:p>
          <w:p w:rsidR="003F31B5" w:rsidRPr="00663A5E" w:rsidRDefault="003F31B5" w:rsidP="00531E57">
            <w:pPr>
              <w:jc w:val="center"/>
              <w:rPr>
                <w:i/>
                <w:iCs/>
                <w:color w:val="000000" w:themeColor="text1"/>
                <w:sz w:val="18"/>
                <w:szCs w:val="18"/>
              </w:rPr>
            </w:pPr>
            <w:r w:rsidRPr="00663A5E">
              <w:rPr>
                <w:i/>
                <w:iCs/>
                <w:color w:val="000000" w:themeColor="text1"/>
                <w:sz w:val="18"/>
                <w:szCs w:val="18"/>
              </w:rPr>
              <w:t>(</w:t>
            </w:r>
            <w:proofErr w:type="gramStart"/>
            <w:r w:rsidRPr="00663A5E">
              <w:rPr>
                <w:i/>
                <w:iCs/>
                <w:color w:val="000000" w:themeColor="text1"/>
                <w:sz w:val="18"/>
                <w:szCs w:val="18"/>
              </w:rPr>
              <w:t>societ</w:t>
            </w:r>
            <w:r w:rsidRPr="00663A5E">
              <w:rPr>
                <w:rFonts w:hAnsi="Times New Roman"/>
                <w:i/>
                <w:iCs/>
                <w:color w:val="000000" w:themeColor="text1"/>
                <w:sz w:val="18"/>
                <w:szCs w:val="18"/>
              </w:rPr>
              <w:t>à</w:t>
            </w:r>
            <w:proofErr w:type="gramEnd"/>
            <w:r w:rsidRPr="00663A5E">
              <w:rPr>
                <w:rFonts w:hAnsi="Times New Roman"/>
                <w:i/>
                <w:iCs/>
                <w:color w:val="000000" w:themeColor="text1"/>
                <w:sz w:val="18"/>
                <w:szCs w:val="18"/>
              </w:rPr>
              <w:t xml:space="preserve"> </w:t>
            </w:r>
            <w:r w:rsidRPr="00663A5E">
              <w:rPr>
                <w:i/>
                <w:iCs/>
                <w:color w:val="000000" w:themeColor="text1"/>
                <w:sz w:val="18"/>
                <w:szCs w:val="18"/>
              </w:rPr>
              <w:t>inattiva)</w:t>
            </w:r>
          </w:p>
          <w:p w:rsidR="003F31B5" w:rsidRPr="00663A5E" w:rsidRDefault="003F31B5" w:rsidP="00531E57">
            <w:pPr>
              <w:rPr>
                <w:color w:val="000000" w:themeColor="text1"/>
                <w:sz w:val="18"/>
                <w:szCs w:val="18"/>
              </w:rPr>
            </w:pPr>
          </w:p>
          <w:p w:rsidR="003F31B5" w:rsidRPr="00663A5E" w:rsidRDefault="003F31B5" w:rsidP="00531E57">
            <w:pPr>
              <w:jc w:val="center"/>
              <w:rPr>
                <w:color w:val="000000" w:themeColor="text1"/>
              </w:rPr>
            </w:pPr>
            <w:r w:rsidRPr="00663A5E">
              <w:rPr>
                <w:rFonts w:hAnsi="Times New Roman"/>
                <w:b/>
                <w:bCs/>
                <w:color w:val="000000" w:themeColor="text1"/>
                <w:sz w:val="18"/>
                <w:szCs w:val="18"/>
              </w:rPr>
              <w: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8"/>
                <w:szCs w:val="18"/>
              </w:rPr>
            </w:pPr>
            <w:r w:rsidRPr="00663A5E">
              <w:rPr>
                <w:color w:val="000000" w:themeColor="text1"/>
                <w:sz w:val="18"/>
                <w:szCs w:val="18"/>
              </w:rPr>
              <w:t>GDELMES S.R.L.</w:t>
            </w:r>
          </w:p>
          <w:p w:rsidR="003F31B5" w:rsidRPr="00663A5E" w:rsidRDefault="003F31B5" w:rsidP="00531E57">
            <w:pPr>
              <w:rPr>
                <w:color w:val="000000" w:themeColor="text1"/>
                <w:sz w:val="18"/>
                <w:szCs w:val="18"/>
              </w:rPr>
            </w:pPr>
            <w:r w:rsidRPr="00663A5E">
              <w:rPr>
                <w:color w:val="000000" w:themeColor="text1"/>
                <w:sz w:val="18"/>
                <w:szCs w:val="18"/>
              </w:rPr>
              <w:t>1,09%</w:t>
            </w:r>
          </w:p>
          <w:p w:rsidR="003F31B5" w:rsidRPr="00663A5E" w:rsidRDefault="003F31B5" w:rsidP="00531E57">
            <w:pPr>
              <w:jc w:val="center"/>
              <w:rPr>
                <w:i/>
                <w:iCs/>
                <w:color w:val="000000" w:themeColor="text1"/>
                <w:sz w:val="18"/>
                <w:szCs w:val="18"/>
              </w:rPr>
            </w:pPr>
            <w:r w:rsidRPr="00663A5E">
              <w:rPr>
                <w:i/>
                <w:iCs/>
                <w:color w:val="000000" w:themeColor="text1"/>
                <w:sz w:val="18"/>
                <w:szCs w:val="18"/>
              </w:rPr>
              <w:t>(</w:t>
            </w:r>
            <w:proofErr w:type="gramStart"/>
            <w:r w:rsidRPr="00663A5E">
              <w:rPr>
                <w:i/>
                <w:iCs/>
                <w:color w:val="000000" w:themeColor="text1"/>
                <w:sz w:val="18"/>
                <w:szCs w:val="18"/>
              </w:rPr>
              <w:t>societ</w:t>
            </w:r>
            <w:r w:rsidRPr="00663A5E">
              <w:rPr>
                <w:rFonts w:hAnsi="Times New Roman"/>
                <w:i/>
                <w:iCs/>
                <w:color w:val="000000" w:themeColor="text1"/>
                <w:sz w:val="18"/>
                <w:szCs w:val="18"/>
              </w:rPr>
              <w:t>à</w:t>
            </w:r>
            <w:proofErr w:type="gramEnd"/>
            <w:r w:rsidRPr="00663A5E">
              <w:rPr>
                <w:rFonts w:hAnsi="Times New Roman"/>
                <w:i/>
                <w:iCs/>
                <w:color w:val="000000" w:themeColor="text1"/>
                <w:sz w:val="18"/>
                <w:szCs w:val="18"/>
              </w:rPr>
              <w:t xml:space="preserve"> </w:t>
            </w:r>
            <w:r w:rsidRPr="00663A5E">
              <w:rPr>
                <w:i/>
                <w:iCs/>
                <w:color w:val="000000" w:themeColor="text1"/>
                <w:sz w:val="18"/>
                <w:szCs w:val="18"/>
              </w:rPr>
              <w:t>inattiva)</w:t>
            </w:r>
          </w:p>
          <w:p w:rsidR="003F31B5" w:rsidRPr="00663A5E" w:rsidRDefault="003F31B5" w:rsidP="00531E57">
            <w:pPr>
              <w:rPr>
                <w:color w:val="000000" w:themeColor="text1"/>
                <w:sz w:val="18"/>
                <w:szCs w:val="18"/>
              </w:rPr>
            </w:pPr>
          </w:p>
          <w:p w:rsidR="003F31B5" w:rsidRPr="00663A5E" w:rsidRDefault="003F31B5" w:rsidP="00531E57">
            <w:pPr>
              <w:jc w:val="center"/>
              <w:rPr>
                <w:color w:val="000000" w:themeColor="text1"/>
              </w:rPr>
            </w:pPr>
            <w:r w:rsidRPr="00663A5E">
              <w:rPr>
                <w:rFonts w:hAnsi="Times New Roman"/>
                <w:b/>
                <w:bCs/>
                <w:color w:val="000000" w:themeColor="text1"/>
                <w:sz w:val="18"/>
                <w:szCs w:val="18"/>
              </w:rPr>
              <w: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r w:rsidRPr="00663A5E">
              <w:rPr>
                <w:color w:val="000000" w:themeColor="text1"/>
                <w:sz w:val="18"/>
                <w:szCs w:val="18"/>
              </w:rPr>
              <w:t>ANTONIO D</w:t>
            </w:r>
            <w:r w:rsidRPr="00663A5E">
              <w:rPr>
                <w:rFonts w:hAnsi="Times New Roman"/>
                <w:color w:val="000000" w:themeColor="text1"/>
                <w:sz w:val="18"/>
                <w:szCs w:val="18"/>
              </w:rPr>
              <w:t>’</w:t>
            </w:r>
            <w:r w:rsidRPr="00663A5E">
              <w:rPr>
                <w:color w:val="000000" w:themeColor="text1"/>
                <w:sz w:val="18"/>
                <w:szCs w:val="18"/>
              </w:rPr>
              <w:t>IORIO 2%</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r w:rsidRPr="00663A5E">
              <w:rPr>
                <w:color w:val="000000" w:themeColor="text1"/>
                <w:sz w:val="18"/>
                <w:szCs w:val="18"/>
              </w:rPr>
              <w:t>SOCI VARI PER UN TOTALE DEL 5,5% (CON PARTECIPAZIONI INDIVIDUALI &lt; 1%)</w:t>
            </w:r>
          </w:p>
        </w:tc>
      </w:tr>
      <w:tr w:rsidR="003F31B5" w:rsidRPr="00F63A96" w:rsidTr="00531E57">
        <w:trPr>
          <w:trHeight w:val="250"/>
        </w:trPr>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r>
      <w:tr w:rsidR="003F31B5" w:rsidRPr="00F63A96" w:rsidTr="00531E57">
        <w:trPr>
          <w:trHeight w:val="543"/>
        </w:trPr>
        <w:tc>
          <w:tcPr>
            <w:tcW w:w="18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jc w:val="center"/>
              <w:rPr>
                <w:b/>
                <w:bCs/>
                <w:color w:val="000000" w:themeColor="text1"/>
                <w:sz w:val="22"/>
                <w:szCs w:val="22"/>
              </w:rPr>
            </w:pPr>
          </w:p>
          <w:p w:rsidR="003F31B5" w:rsidRPr="00663A5E" w:rsidRDefault="003F31B5" w:rsidP="00531E57">
            <w:pPr>
              <w:jc w:val="center"/>
              <w:rPr>
                <w:color w:val="000000" w:themeColor="text1"/>
              </w:rPr>
            </w:pPr>
            <w:r w:rsidRPr="00663A5E">
              <w:rPr>
                <w:b/>
                <w:bCs/>
                <w:color w:val="000000" w:themeColor="text1"/>
                <w:sz w:val="22"/>
                <w:szCs w:val="22"/>
              </w:rPr>
              <w:t xml:space="preserve">ASSETTO </w:t>
            </w:r>
            <w:proofErr w:type="gramStart"/>
            <w:r w:rsidRPr="00663A5E">
              <w:rPr>
                <w:b/>
                <w:bCs/>
                <w:color w:val="000000" w:themeColor="text1"/>
                <w:sz w:val="22"/>
                <w:szCs w:val="22"/>
              </w:rPr>
              <w:t>PROPRIETARIO  DEI</w:t>
            </w:r>
            <w:proofErr w:type="gramEnd"/>
            <w:r w:rsidRPr="00663A5E">
              <w:rPr>
                <w:b/>
                <w:bCs/>
                <w:color w:val="000000" w:themeColor="text1"/>
                <w:sz w:val="22"/>
                <w:szCs w:val="22"/>
              </w:rPr>
              <w:t xml:space="preserve"> SOCI DI SOC.I.GE.SS.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6"/>
                <w:szCs w:val="16"/>
              </w:rPr>
            </w:pPr>
            <w:r w:rsidRPr="00663A5E">
              <w:rPr>
                <w:color w:val="000000" w:themeColor="text1"/>
                <w:sz w:val="16"/>
                <w:szCs w:val="16"/>
              </w:rPr>
              <w:t xml:space="preserve">VENDITTIOLI FRANCO </w:t>
            </w:r>
          </w:p>
          <w:p w:rsidR="003F31B5" w:rsidRPr="00663A5E" w:rsidRDefault="003F31B5" w:rsidP="00531E57">
            <w:pPr>
              <w:rPr>
                <w:color w:val="000000" w:themeColor="text1"/>
              </w:rPr>
            </w:pPr>
            <w:r w:rsidRPr="00663A5E">
              <w:rPr>
                <w:color w:val="000000" w:themeColor="text1"/>
                <w:sz w:val="16"/>
                <w:szCs w:val="16"/>
              </w:rPr>
              <w:t>50%</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6"/>
                <w:szCs w:val="16"/>
              </w:rPr>
            </w:pPr>
            <w:r w:rsidRPr="00663A5E">
              <w:rPr>
                <w:color w:val="000000" w:themeColor="text1"/>
                <w:sz w:val="16"/>
                <w:szCs w:val="16"/>
              </w:rPr>
              <w:t>ESPOSITO RENATO</w:t>
            </w:r>
          </w:p>
          <w:p w:rsidR="003F31B5" w:rsidRPr="00663A5E" w:rsidRDefault="003F31B5" w:rsidP="00531E57">
            <w:pPr>
              <w:rPr>
                <w:color w:val="000000" w:themeColor="text1"/>
                <w:sz w:val="16"/>
                <w:szCs w:val="16"/>
              </w:rPr>
            </w:pPr>
            <w:r w:rsidRPr="00663A5E">
              <w:rPr>
                <w:color w:val="000000" w:themeColor="text1"/>
                <w:sz w:val="16"/>
                <w:szCs w:val="16"/>
              </w:rPr>
              <w:t>80,11 %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6"/>
                <w:szCs w:val="16"/>
              </w:rPr>
            </w:pPr>
            <w:r w:rsidRPr="00663A5E">
              <w:rPr>
                <w:color w:val="000000" w:themeColor="text1"/>
                <w:sz w:val="16"/>
                <w:szCs w:val="16"/>
              </w:rPr>
              <w:t xml:space="preserve">DEL MESE GIUSEPPE </w:t>
            </w:r>
          </w:p>
          <w:p w:rsidR="003F31B5" w:rsidRPr="00663A5E" w:rsidRDefault="003F31B5" w:rsidP="00531E57">
            <w:pPr>
              <w:rPr>
                <w:color w:val="000000" w:themeColor="text1"/>
              </w:rPr>
            </w:pPr>
            <w:r w:rsidRPr="00663A5E">
              <w:rPr>
                <w:color w:val="000000" w:themeColor="text1"/>
                <w:sz w:val="16"/>
                <w:szCs w:val="16"/>
              </w:rPr>
              <w:t>100%</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r>
      <w:tr w:rsidR="003F31B5" w:rsidRPr="00F63A96" w:rsidTr="00531E57">
        <w:trPr>
          <w:trHeight w:val="543"/>
        </w:trPr>
        <w:tc>
          <w:tcPr>
            <w:tcW w:w="1885" w:type="dxa"/>
            <w:vMerge/>
            <w:tcBorders>
              <w:top w:val="single" w:sz="4" w:space="0" w:color="000000"/>
              <w:left w:val="single" w:sz="4" w:space="0" w:color="000000"/>
              <w:bottom w:val="single" w:sz="4" w:space="0" w:color="000000"/>
              <w:right w:val="single" w:sz="4" w:space="0" w:color="000000"/>
            </w:tcBorders>
            <w:shd w:val="clear" w:color="auto" w:fill="auto"/>
          </w:tcPr>
          <w:p w:rsidR="003F31B5" w:rsidRPr="00663A5E" w:rsidRDefault="003F31B5" w:rsidP="00531E57">
            <w:pPr>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6"/>
                <w:szCs w:val="16"/>
              </w:rPr>
            </w:pPr>
            <w:r w:rsidRPr="00663A5E">
              <w:rPr>
                <w:color w:val="000000" w:themeColor="text1"/>
                <w:sz w:val="16"/>
                <w:szCs w:val="16"/>
              </w:rPr>
              <w:t>COX MASSIMO</w:t>
            </w:r>
          </w:p>
          <w:p w:rsidR="003F31B5" w:rsidRPr="00663A5E" w:rsidRDefault="003F31B5" w:rsidP="00531E57">
            <w:pPr>
              <w:rPr>
                <w:color w:val="000000" w:themeColor="text1"/>
              </w:rPr>
            </w:pPr>
            <w:r w:rsidRPr="00663A5E">
              <w:rPr>
                <w:color w:val="000000" w:themeColor="text1"/>
                <w:sz w:val="16"/>
                <w:szCs w:val="16"/>
              </w:rPr>
              <w:t>50%</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6"/>
                <w:szCs w:val="16"/>
              </w:rPr>
            </w:pPr>
            <w:r w:rsidRPr="00663A5E">
              <w:rPr>
                <w:color w:val="000000" w:themeColor="text1"/>
                <w:sz w:val="16"/>
                <w:szCs w:val="16"/>
              </w:rPr>
              <w:t>MACCAURO GIANLUCA</w:t>
            </w:r>
          </w:p>
          <w:p w:rsidR="003F31B5" w:rsidRPr="00663A5E" w:rsidRDefault="003F31B5" w:rsidP="00531E57">
            <w:pPr>
              <w:rPr>
                <w:color w:val="000000" w:themeColor="text1"/>
              </w:rPr>
            </w:pPr>
            <w:r w:rsidRPr="00663A5E">
              <w:rPr>
                <w:color w:val="000000" w:themeColor="text1"/>
                <w:sz w:val="16"/>
                <w:szCs w:val="16"/>
              </w:rPr>
              <w:t>11,56%</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r>
      <w:tr w:rsidR="003F31B5" w:rsidRPr="00F63A96" w:rsidTr="00531E57">
        <w:trPr>
          <w:trHeight w:val="363"/>
        </w:trPr>
        <w:tc>
          <w:tcPr>
            <w:tcW w:w="1885" w:type="dxa"/>
            <w:vMerge/>
            <w:tcBorders>
              <w:top w:val="single" w:sz="4" w:space="0" w:color="000000"/>
              <w:left w:val="single" w:sz="4" w:space="0" w:color="000000"/>
              <w:bottom w:val="single" w:sz="4" w:space="0" w:color="000000"/>
              <w:right w:val="single" w:sz="4" w:space="0" w:color="000000"/>
            </w:tcBorders>
            <w:shd w:val="clear" w:color="auto" w:fill="auto"/>
          </w:tcPr>
          <w:p w:rsidR="003F31B5" w:rsidRPr="00663A5E" w:rsidRDefault="003F31B5" w:rsidP="00531E57">
            <w:pPr>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6"/>
                <w:szCs w:val="16"/>
              </w:rPr>
            </w:pPr>
            <w:r w:rsidRPr="00663A5E">
              <w:rPr>
                <w:color w:val="000000" w:themeColor="text1"/>
                <w:sz w:val="16"/>
                <w:szCs w:val="16"/>
              </w:rPr>
              <w:t xml:space="preserve">DI IORIO LORENZO </w:t>
            </w:r>
          </w:p>
          <w:p w:rsidR="003F31B5" w:rsidRPr="00663A5E" w:rsidRDefault="003F31B5" w:rsidP="00531E57">
            <w:pPr>
              <w:rPr>
                <w:color w:val="000000" w:themeColor="text1"/>
              </w:rPr>
            </w:pPr>
            <w:r w:rsidRPr="00663A5E">
              <w:rPr>
                <w:color w:val="000000" w:themeColor="text1"/>
                <w:sz w:val="16"/>
                <w:szCs w:val="16"/>
              </w:rPr>
              <w:t>5,19%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r>
      <w:tr w:rsidR="003F31B5" w:rsidRPr="00F63A96" w:rsidTr="00531E57">
        <w:trPr>
          <w:trHeight w:val="543"/>
        </w:trPr>
        <w:tc>
          <w:tcPr>
            <w:tcW w:w="1885" w:type="dxa"/>
            <w:vMerge/>
            <w:tcBorders>
              <w:top w:val="single" w:sz="4" w:space="0" w:color="000000"/>
              <w:left w:val="single" w:sz="4" w:space="0" w:color="000000"/>
              <w:bottom w:val="single" w:sz="4" w:space="0" w:color="000000"/>
              <w:right w:val="single" w:sz="4" w:space="0" w:color="000000"/>
            </w:tcBorders>
            <w:shd w:val="clear" w:color="auto" w:fill="auto"/>
          </w:tcPr>
          <w:p w:rsidR="003F31B5" w:rsidRPr="00663A5E" w:rsidRDefault="003F31B5" w:rsidP="00531E57">
            <w:pPr>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sz w:val="16"/>
                <w:szCs w:val="16"/>
              </w:rPr>
            </w:pPr>
            <w:r w:rsidRPr="00663A5E">
              <w:rPr>
                <w:color w:val="000000" w:themeColor="text1"/>
                <w:sz w:val="16"/>
                <w:szCs w:val="16"/>
              </w:rPr>
              <w:t>SAGLIOCCO LUCIANO</w:t>
            </w:r>
          </w:p>
          <w:p w:rsidR="003F31B5" w:rsidRPr="00663A5E" w:rsidRDefault="003F31B5" w:rsidP="00531E57">
            <w:pPr>
              <w:rPr>
                <w:color w:val="000000" w:themeColor="text1"/>
              </w:rPr>
            </w:pPr>
            <w:r w:rsidRPr="00663A5E">
              <w:rPr>
                <w:color w:val="000000" w:themeColor="text1"/>
                <w:sz w:val="16"/>
                <w:szCs w:val="16"/>
              </w:rPr>
              <w:t>1,57%</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r>
      <w:tr w:rsidR="003F31B5" w:rsidRPr="00F63A96" w:rsidTr="00531E57">
        <w:trPr>
          <w:trHeight w:val="903"/>
        </w:trPr>
        <w:tc>
          <w:tcPr>
            <w:tcW w:w="1885" w:type="dxa"/>
            <w:vMerge/>
            <w:tcBorders>
              <w:top w:val="single" w:sz="4" w:space="0" w:color="000000"/>
              <w:left w:val="single" w:sz="4" w:space="0" w:color="000000"/>
              <w:bottom w:val="single" w:sz="4" w:space="0" w:color="000000"/>
              <w:right w:val="single" w:sz="4" w:space="0" w:color="000000"/>
            </w:tcBorders>
            <w:shd w:val="clear" w:color="auto" w:fill="auto"/>
          </w:tcPr>
          <w:p w:rsidR="003F31B5" w:rsidRPr="00663A5E" w:rsidRDefault="003F31B5" w:rsidP="00531E57">
            <w:pPr>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r w:rsidRPr="00663A5E">
              <w:rPr>
                <w:color w:val="000000" w:themeColor="text1"/>
                <w:sz w:val="16"/>
                <w:szCs w:val="16"/>
              </w:rPr>
              <w:t>ALTRI SOCI (CON PARTECIPAZIONI INDIVIDUALI &lt; 1%) PER UN TOTALE DELL</w:t>
            </w:r>
            <w:r w:rsidRPr="00663A5E">
              <w:rPr>
                <w:rFonts w:hAnsi="Times New Roman"/>
                <w:color w:val="000000" w:themeColor="text1"/>
                <w:sz w:val="16"/>
                <w:szCs w:val="16"/>
              </w:rPr>
              <w:t>’</w:t>
            </w:r>
            <w:r w:rsidRPr="00663A5E">
              <w:rPr>
                <w:color w:val="000000" w:themeColor="text1"/>
                <w:sz w:val="16"/>
                <w:szCs w:val="16"/>
              </w:rPr>
              <w:t>1,57%</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31B5" w:rsidRPr="00663A5E" w:rsidRDefault="003F31B5" w:rsidP="00531E57">
            <w:pPr>
              <w:rPr>
                <w:color w:val="000000" w:themeColor="text1"/>
              </w:rPr>
            </w:pPr>
          </w:p>
        </w:tc>
      </w:tr>
    </w:tbl>
    <w:p w:rsidR="009A063F" w:rsidRDefault="009A063F" w:rsidP="003F31B5">
      <w:pPr>
        <w:shd w:val="clear" w:color="auto" w:fill="FEFFFF"/>
        <w:spacing w:line="360" w:lineRule="auto"/>
        <w:ind w:firstLine="354"/>
        <w:jc w:val="both"/>
        <w:outlineLvl w:val="0"/>
        <w:rPr>
          <w:rFonts w:ascii="Verdana"/>
          <w:color w:val="000000" w:themeColor="text1"/>
          <w:sz w:val="20"/>
          <w:szCs w:val="20"/>
        </w:rPr>
      </w:pPr>
    </w:p>
    <w:p w:rsidR="003F31B5" w:rsidRPr="00F63A96" w:rsidRDefault="009A063F" w:rsidP="003F31B5">
      <w:pPr>
        <w:shd w:val="clear" w:color="auto" w:fill="FEFFFF"/>
        <w:spacing w:line="360" w:lineRule="auto"/>
        <w:ind w:firstLine="354"/>
        <w:jc w:val="both"/>
        <w:outlineLvl w:val="0"/>
        <w:rPr>
          <w:rFonts w:ascii="Verdana" w:eastAsia="Verdana" w:hAnsi="Verdana" w:cs="Verdana"/>
          <w:color w:val="000000" w:themeColor="text1"/>
          <w:sz w:val="20"/>
          <w:szCs w:val="20"/>
        </w:rPr>
      </w:pPr>
      <w:r>
        <w:rPr>
          <w:rFonts w:ascii="Verdana"/>
          <w:color w:val="000000" w:themeColor="text1"/>
          <w:sz w:val="20"/>
          <w:szCs w:val="20"/>
        </w:rPr>
        <w:t>Tabella C</w:t>
      </w:r>
      <w:r w:rsidR="003F31B5" w:rsidRPr="00F63A96">
        <w:rPr>
          <w:rFonts w:ascii="Verdana"/>
          <w:color w:val="000000" w:themeColor="text1"/>
          <w:sz w:val="20"/>
          <w:szCs w:val="20"/>
        </w:rPr>
        <w:t>.</w:t>
      </w:r>
      <w:r w:rsidR="003F31B5">
        <w:rPr>
          <w:rFonts w:ascii="Verdana"/>
          <w:color w:val="000000" w:themeColor="text1"/>
          <w:sz w:val="20"/>
          <w:szCs w:val="20"/>
        </w:rPr>
        <w:t>1</w:t>
      </w:r>
      <w:r w:rsidR="003F31B5" w:rsidRPr="00F63A96">
        <w:rPr>
          <w:rFonts w:ascii="Verdana"/>
          <w:color w:val="000000" w:themeColor="text1"/>
          <w:sz w:val="20"/>
          <w:szCs w:val="20"/>
        </w:rPr>
        <w:t xml:space="preserve">. Assetto proprietario </w:t>
      </w:r>
      <w:r w:rsidR="003B4079">
        <w:rPr>
          <w:rFonts w:ascii="Verdana"/>
          <w:color w:val="000000" w:themeColor="text1"/>
          <w:sz w:val="20"/>
          <w:szCs w:val="20"/>
        </w:rPr>
        <w:t>INCOFARMA</w:t>
      </w:r>
      <w:r w:rsidR="003F31B5" w:rsidRPr="00F63A96">
        <w:rPr>
          <w:rFonts w:ascii="Verdana"/>
          <w:color w:val="000000" w:themeColor="text1"/>
          <w:sz w:val="20"/>
          <w:szCs w:val="20"/>
        </w:rPr>
        <w:t xml:space="preserve"> spa</w:t>
      </w:r>
    </w:p>
    <w:tbl>
      <w:tblPr>
        <w:tblStyle w:val="TableNormal"/>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1"/>
        <w:gridCol w:w="4811"/>
      </w:tblGrid>
      <w:tr w:rsidR="003F31B5" w:rsidRPr="00F63A96" w:rsidTr="00531E57">
        <w:trPr>
          <w:trHeight w:val="279"/>
          <w:tblHeader/>
        </w:trPr>
        <w:tc>
          <w:tcPr>
            <w:tcW w:w="481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31B5" w:rsidRPr="00F63A96" w:rsidRDefault="003B4079" w:rsidP="00531E57">
            <w:pPr>
              <w:pStyle w:val="Stiletabella1"/>
              <w:rPr>
                <w:color w:val="000000" w:themeColor="text1"/>
              </w:rPr>
            </w:pPr>
            <w:r>
              <w:rPr>
                <w:rFonts w:eastAsia="Arial Unicode MS" w:hAnsi="Arial Unicode MS" w:cs="Arial Unicode MS"/>
                <w:color w:val="000000" w:themeColor="text1"/>
              </w:rPr>
              <w:t>INCOFARMA</w:t>
            </w:r>
          </w:p>
        </w:tc>
        <w:tc>
          <w:tcPr>
            <w:tcW w:w="481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31B5" w:rsidRPr="00F63A96" w:rsidRDefault="003F31B5" w:rsidP="00531E57">
            <w:pPr>
              <w:rPr>
                <w:color w:val="000000" w:themeColor="text1"/>
              </w:rPr>
            </w:pPr>
          </w:p>
        </w:tc>
      </w:tr>
      <w:tr w:rsidR="003F31B5" w:rsidRPr="00F63A96" w:rsidTr="00531E57">
        <w:tblPrEx>
          <w:shd w:val="clear" w:color="auto" w:fill="auto"/>
        </w:tblPrEx>
        <w:trPr>
          <w:trHeight w:val="279"/>
        </w:trPr>
        <w:tc>
          <w:tcPr>
            <w:tcW w:w="4811"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F31B5" w:rsidRPr="00F63A96" w:rsidRDefault="003F31B5" w:rsidP="00531E57">
            <w:pPr>
              <w:pStyle w:val="Stiletabella1"/>
              <w:rPr>
                <w:color w:val="000000" w:themeColor="text1"/>
              </w:rPr>
            </w:pPr>
            <w:r w:rsidRPr="00F63A96">
              <w:rPr>
                <w:rFonts w:eastAsia="Arial Unicode MS" w:hAnsi="Arial Unicode MS" w:cs="Arial Unicode MS"/>
                <w:color w:val="000000" w:themeColor="text1"/>
              </w:rPr>
              <w:t>CISS (consorzio di diritto pubblico)</w:t>
            </w:r>
          </w:p>
        </w:tc>
        <w:tc>
          <w:tcPr>
            <w:tcW w:w="4811"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F31B5" w:rsidRPr="00F63A96" w:rsidRDefault="003F31B5" w:rsidP="00531E57">
            <w:pPr>
              <w:jc w:val="right"/>
              <w:rPr>
                <w:color w:val="000000" w:themeColor="text1"/>
              </w:rPr>
            </w:pPr>
            <w:r w:rsidRPr="00F63A96">
              <w:rPr>
                <w:rFonts w:ascii="Helvetica"/>
                <w:color w:val="000000" w:themeColor="text1"/>
                <w:sz w:val="20"/>
                <w:szCs w:val="20"/>
              </w:rPr>
              <w:t>25%</w:t>
            </w:r>
          </w:p>
        </w:tc>
      </w:tr>
      <w:tr w:rsidR="003F31B5" w:rsidRPr="00F63A96" w:rsidTr="00531E57">
        <w:tblPrEx>
          <w:shd w:val="clear" w:color="auto" w:fill="auto"/>
        </w:tblPrEx>
        <w:trPr>
          <w:trHeight w:val="279"/>
        </w:trPr>
        <w:tc>
          <w:tcPr>
            <w:tcW w:w="48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F31B5" w:rsidRPr="00F63A96" w:rsidRDefault="003F31B5" w:rsidP="00531E57">
            <w:pPr>
              <w:pStyle w:val="Stiletabella1"/>
              <w:rPr>
                <w:color w:val="000000" w:themeColor="text1"/>
              </w:rPr>
            </w:pPr>
            <w:r w:rsidRPr="00F63A96">
              <w:rPr>
                <w:rFonts w:eastAsia="Arial Unicode MS" w:hAnsi="Arial Unicode MS" w:cs="Arial Unicode MS"/>
                <w:color w:val="000000" w:themeColor="text1"/>
              </w:rPr>
              <w:t>SOCIGESS (socio privato)</w:t>
            </w:r>
          </w:p>
        </w:tc>
        <w:tc>
          <w:tcPr>
            <w:tcW w:w="481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F31B5" w:rsidRPr="00F63A96" w:rsidRDefault="003F31B5" w:rsidP="00531E57">
            <w:pPr>
              <w:jc w:val="right"/>
              <w:rPr>
                <w:color w:val="000000" w:themeColor="text1"/>
              </w:rPr>
            </w:pPr>
            <w:r w:rsidRPr="00F63A96">
              <w:rPr>
                <w:rFonts w:ascii="Helvetica"/>
                <w:color w:val="000000" w:themeColor="text1"/>
                <w:sz w:val="20"/>
                <w:szCs w:val="20"/>
              </w:rPr>
              <w:t>75%</w:t>
            </w:r>
          </w:p>
        </w:tc>
      </w:tr>
    </w:tbl>
    <w:p w:rsidR="003F31B5"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p>
    <w:p w:rsidR="003F31B5" w:rsidRPr="00F63A96"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p>
    <w:p w:rsidR="003F31B5" w:rsidRPr="00F63A96" w:rsidRDefault="009A063F" w:rsidP="003F31B5">
      <w:pPr>
        <w:shd w:val="clear" w:color="auto" w:fill="FEFFFF"/>
        <w:spacing w:line="360" w:lineRule="auto"/>
        <w:ind w:firstLine="354"/>
        <w:jc w:val="both"/>
        <w:outlineLvl w:val="0"/>
        <w:rPr>
          <w:rFonts w:ascii="Verdana" w:eastAsia="Verdana" w:hAnsi="Verdana" w:cs="Verdana"/>
          <w:color w:val="000000" w:themeColor="text1"/>
          <w:sz w:val="20"/>
          <w:szCs w:val="20"/>
        </w:rPr>
      </w:pPr>
      <w:r>
        <w:rPr>
          <w:rFonts w:ascii="Verdana"/>
          <w:color w:val="000000" w:themeColor="text1"/>
          <w:sz w:val="20"/>
          <w:szCs w:val="20"/>
        </w:rPr>
        <w:t>Tabella C</w:t>
      </w:r>
      <w:r w:rsidR="003F31B5" w:rsidRPr="00F63A96">
        <w:rPr>
          <w:rFonts w:ascii="Verdana"/>
          <w:color w:val="000000" w:themeColor="text1"/>
          <w:sz w:val="20"/>
          <w:szCs w:val="20"/>
        </w:rPr>
        <w:t>.</w:t>
      </w:r>
      <w:r w:rsidR="003F31B5">
        <w:rPr>
          <w:rFonts w:ascii="Verdana"/>
          <w:color w:val="000000" w:themeColor="text1"/>
          <w:sz w:val="20"/>
          <w:szCs w:val="20"/>
        </w:rPr>
        <w:t>2</w:t>
      </w:r>
      <w:r w:rsidR="003F31B5" w:rsidRPr="00F63A96">
        <w:rPr>
          <w:rFonts w:ascii="Verdana"/>
          <w:color w:val="000000" w:themeColor="text1"/>
          <w:sz w:val="20"/>
          <w:szCs w:val="20"/>
        </w:rPr>
        <w:t xml:space="preserve">. Principali dati societari </w:t>
      </w:r>
      <w:r w:rsidR="003B4079">
        <w:rPr>
          <w:rFonts w:ascii="Verdana"/>
          <w:color w:val="000000" w:themeColor="text1"/>
          <w:sz w:val="20"/>
          <w:szCs w:val="20"/>
        </w:rPr>
        <w:t>INCOFARMA</w:t>
      </w:r>
      <w:r w:rsidR="003F31B5" w:rsidRPr="00F63A96">
        <w:rPr>
          <w:rFonts w:ascii="Verdana"/>
          <w:color w:val="000000" w:themeColor="text1"/>
          <w:sz w:val="20"/>
          <w:szCs w:val="20"/>
        </w:rPr>
        <w:t>. Fonte: Camere di commercio.</w:t>
      </w:r>
    </w:p>
    <w:tbl>
      <w:tblPr>
        <w:tblStyle w:val="TableNormal"/>
        <w:tblW w:w="8863" w:type="dxa"/>
        <w:tblInd w:w="10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947"/>
        <w:gridCol w:w="2771"/>
        <w:gridCol w:w="2018"/>
        <w:gridCol w:w="2127"/>
      </w:tblGrid>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Denominazione</w:t>
            </w:r>
          </w:p>
        </w:tc>
        <w:tc>
          <w:tcPr>
            <w:tcW w:w="2771" w:type="dxa"/>
            <w:tcBorders>
              <w:top w:val="single" w:sz="8" w:space="0" w:color="000000"/>
              <w:left w:val="single" w:sz="8" w:space="0" w:color="000000"/>
              <w:bottom w:val="single" w:sz="8" w:space="0" w:color="000000"/>
              <w:right w:val="single" w:sz="8" w:space="0" w:color="AAAAAA"/>
            </w:tcBorders>
            <w:shd w:val="clear" w:color="auto" w:fill="auto"/>
            <w:tcMar>
              <w:top w:w="40" w:type="dxa"/>
              <w:left w:w="40" w:type="dxa"/>
              <w:bottom w:w="40" w:type="dxa"/>
              <w:right w:w="40" w:type="dxa"/>
            </w:tcMar>
            <w:vAlign w:val="bottom"/>
          </w:tcPr>
          <w:p w:rsidR="003F31B5" w:rsidRPr="00F63A96" w:rsidRDefault="003B4079" w:rsidP="00531E57">
            <w:pPr>
              <w:pStyle w:val="Stiletabella2"/>
              <w:rPr>
                <w:color w:val="000000" w:themeColor="text1"/>
              </w:rPr>
            </w:pPr>
            <w:r>
              <w:rPr>
                <w:rFonts w:ascii="Calibri"/>
                <w:b/>
                <w:bCs/>
                <w:color w:val="000000" w:themeColor="text1"/>
                <w:sz w:val="22"/>
                <w:szCs w:val="22"/>
              </w:rPr>
              <w:t>INCOFARMA</w:t>
            </w:r>
            <w:r w:rsidR="003F31B5" w:rsidRPr="00F63A96">
              <w:rPr>
                <w:rFonts w:ascii="Calibri"/>
                <w:b/>
                <w:bCs/>
                <w:color w:val="000000" w:themeColor="text1"/>
                <w:sz w:val="22"/>
                <w:szCs w:val="22"/>
              </w:rPr>
              <w:t xml:space="preserve"> S.P.A.</w:t>
            </w:r>
          </w:p>
        </w:tc>
        <w:tc>
          <w:tcPr>
            <w:tcW w:w="2018" w:type="dxa"/>
            <w:tcBorders>
              <w:top w:val="single" w:sz="8" w:space="0" w:color="000000"/>
              <w:left w:val="single" w:sz="8" w:space="0" w:color="AAAAAA"/>
              <w:bottom w:val="single" w:sz="8" w:space="0" w:color="000000"/>
              <w:right w:val="single" w:sz="8" w:space="0" w:color="AAAAAA"/>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c>
          <w:tcPr>
            <w:tcW w:w="2127" w:type="dxa"/>
            <w:tcBorders>
              <w:top w:val="single" w:sz="8" w:space="0" w:color="000000"/>
              <w:left w:val="single" w:sz="8" w:space="0" w:color="AAAAAA"/>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r>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Codice fiscale</w:t>
            </w:r>
          </w:p>
        </w:tc>
        <w:tc>
          <w:tcPr>
            <w:tcW w:w="2771" w:type="dxa"/>
            <w:tcBorders>
              <w:top w:val="single" w:sz="8" w:space="0" w:color="000000"/>
              <w:left w:val="single" w:sz="8" w:space="0" w:color="000000"/>
              <w:bottom w:val="single" w:sz="8" w:space="0" w:color="000000"/>
              <w:right w:val="single" w:sz="8" w:space="0" w:color="AAAAAA"/>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b/>
                <w:bCs/>
                <w:color w:val="000000" w:themeColor="text1"/>
                <w:sz w:val="22"/>
                <w:szCs w:val="22"/>
              </w:rPr>
              <w:t>5029881215</w:t>
            </w:r>
          </w:p>
        </w:tc>
        <w:tc>
          <w:tcPr>
            <w:tcW w:w="2018" w:type="dxa"/>
            <w:tcBorders>
              <w:top w:val="single" w:sz="8" w:space="0" w:color="000000"/>
              <w:left w:val="single" w:sz="8" w:space="0" w:color="AAAAAA"/>
              <w:bottom w:val="single" w:sz="8" w:space="0" w:color="000000"/>
              <w:right w:val="single" w:sz="8" w:space="0" w:color="AAAAAA"/>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c>
          <w:tcPr>
            <w:tcW w:w="2127" w:type="dxa"/>
            <w:tcBorders>
              <w:top w:val="single" w:sz="8" w:space="0" w:color="000000"/>
              <w:left w:val="single" w:sz="8" w:space="0" w:color="AAAAAA"/>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r>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Forma societaria</w:t>
            </w:r>
          </w:p>
        </w:tc>
        <w:tc>
          <w:tcPr>
            <w:tcW w:w="2771" w:type="dxa"/>
            <w:tcBorders>
              <w:top w:val="single" w:sz="8" w:space="0" w:color="000000"/>
              <w:left w:val="single" w:sz="8" w:space="0" w:color="000000"/>
              <w:bottom w:val="single" w:sz="8" w:space="0" w:color="000000"/>
              <w:right w:val="single" w:sz="8" w:space="0" w:color="AAAAAA"/>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b/>
                <w:bCs/>
                <w:color w:val="000000" w:themeColor="text1"/>
                <w:sz w:val="22"/>
                <w:szCs w:val="22"/>
              </w:rPr>
              <w:t>Societ</w:t>
            </w:r>
            <w:r w:rsidRPr="00F63A96">
              <w:rPr>
                <w:rFonts w:hAnsi="Calibri"/>
                <w:b/>
                <w:bCs/>
                <w:color w:val="000000" w:themeColor="text1"/>
                <w:sz w:val="22"/>
                <w:szCs w:val="22"/>
              </w:rPr>
              <w:t>à</w:t>
            </w:r>
            <w:r w:rsidRPr="00F63A96">
              <w:rPr>
                <w:rFonts w:hAnsi="Calibri"/>
                <w:b/>
                <w:bCs/>
                <w:color w:val="000000" w:themeColor="text1"/>
                <w:sz w:val="22"/>
                <w:szCs w:val="22"/>
              </w:rPr>
              <w:t xml:space="preserve"> </w:t>
            </w:r>
            <w:r w:rsidRPr="00F63A96">
              <w:rPr>
                <w:rFonts w:ascii="Calibri"/>
                <w:b/>
                <w:bCs/>
                <w:color w:val="000000" w:themeColor="text1"/>
                <w:sz w:val="22"/>
                <w:szCs w:val="22"/>
              </w:rPr>
              <w:t>per azioni</w:t>
            </w:r>
          </w:p>
        </w:tc>
        <w:tc>
          <w:tcPr>
            <w:tcW w:w="2018" w:type="dxa"/>
            <w:tcBorders>
              <w:top w:val="single" w:sz="8" w:space="0" w:color="000000"/>
              <w:left w:val="single" w:sz="8" w:space="0" w:color="AAAAAA"/>
              <w:bottom w:val="single" w:sz="8" w:space="0" w:color="000000"/>
              <w:right w:val="single" w:sz="8" w:space="0" w:color="AAAAAA"/>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c>
          <w:tcPr>
            <w:tcW w:w="2127" w:type="dxa"/>
            <w:tcBorders>
              <w:top w:val="single" w:sz="8" w:space="0" w:color="000000"/>
              <w:left w:val="single" w:sz="8" w:space="0" w:color="AAAAAA"/>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r>
      <w:tr w:rsidR="003F31B5" w:rsidRPr="00F63A96" w:rsidTr="00531E57">
        <w:trPr>
          <w:trHeight w:val="36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Oggetto sociale</w:t>
            </w:r>
          </w:p>
        </w:tc>
        <w:tc>
          <w:tcPr>
            <w:tcW w:w="2771" w:type="dxa"/>
            <w:tcBorders>
              <w:top w:val="single" w:sz="8" w:space="0" w:color="000000"/>
              <w:left w:val="single" w:sz="8" w:space="0" w:color="000000"/>
              <w:bottom w:val="single" w:sz="8" w:space="0" w:color="000000"/>
              <w:right w:val="single" w:sz="8" w:space="0" w:color="AAAAAA"/>
            </w:tcBorders>
            <w:shd w:val="clear" w:color="auto" w:fill="auto"/>
            <w:tcMar>
              <w:top w:w="40" w:type="dxa"/>
              <w:left w:w="40" w:type="dxa"/>
              <w:bottom w:w="40" w:type="dxa"/>
              <w:right w:w="40" w:type="dxa"/>
            </w:tcMar>
          </w:tcPr>
          <w:p w:rsidR="003F31B5" w:rsidRPr="00F63A96" w:rsidRDefault="003F31B5" w:rsidP="00531E57">
            <w:pPr>
              <w:pStyle w:val="Stiletabella2"/>
              <w:rPr>
                <w:color w:val="000000" w:themeColor="text1"/>
              </w:rPr>
            </w:pPr>
            <w:proofErr w:type="gramStart"/>
            <w:r w:rsidRPr="00F63A96">
              <w:rPr>
                <w:rFonts w:ascii="Arial Unicode MS"/>
                <w:color w:val="000000" w:themeColor="text1"/>
                <w:sz w:val="16"/>
                <w:szCs w:val="16"/>
              </w:rPr>
              <w:t>gestione</w:t>
            </w:r>
            <w:proofErr w:type="gramEnd"/>
            <w:r w:rsidRPr="00F63A96">
              <w:rPr>
                <w:rFonts w:ascii="Arial Unicode MS"/>
                <w:color w:val="000000" w:themeColor="text1"/>
                <w:sz w:val="16"/>
                <w:szCs w:val="16"/>
              </w:rPr>
              <w:t xml:space="preserve"> delle farmacie nella titolarit</w:t>
            </w:r>
            <w:r w:rsidRPr="00F63A96">
              <w:rPr>
                <w:rFonts w:hAnsi="Arial Unicode MS"/>
                <w:color w:val="000000" w:themeColor="text1"/>
                <w:sz w:val="16"/>
                <w:szCs w:val="16"/>
              </w:rPr>
              <w:t>à</w:t>
            </w:r>
            <w:r w:rsidRPr="00F63A96">
              <w:rPr>
                <w:rFonts w:hAnsi="Arial Unicode MS"/>
                <w:color w:val="000000" w:themeColor="text1"/>
                <w:sz w:val="16"/>
                <w:szCs w:val="16"/>
              </w:rPr>
              <w:t xml:space="preserve"> </w:t>
            </w:r>
            <w:r w:rsidRPr="00F63A96">
              <w:rPr>
                <w:rFonts w:ascii="Arial Unicode MS"/>
                <w:color w:val="000000" w:themeColor="text1"/>
                <w:sz w:val="16"/>
                <w:szCs w:val="16"/>
              </w:rPr>
              <w:t>dei comuni aderenti  al consorzio CISS</w:t>
            </w:r>
          </w:p>
        </w:tc>
        <w:tc>
          <w:tcPr>
            <w:tcW w:w="2018" w:type="dxa"/>
            <w:tcBorders>
              <w:top w:val="single" w:sz="8" w:space="0" w:color="000000"/>
              <w:left w:val="single" w:sz="8" w:space="0" w:color="AAAAAA"/>
              <w:bottom w:val="single" w:sz="8" w:space="0" w:color="000000"/>
              <w:right w:val="single" w:sz="8" w:space="0" w:color="AAAAAA"/>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c>
          <w:tcPr>
            <w:tcW w:w="2127" w:type="dxa"/>
            <w:tcBorders>
              <w:top w:val="single" w:sz="8" w:space="0" w:color="000000"/>
              <w:left w:val="single" w:sz="8" w:space="0" w:color="AAAAAA"/>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r>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rPr>
                <w:color w:val="000000" w:themeColor="text1"/>
              </w:rPr>
            </w:pPr>
          </w:p>
        </w:tc>
        <w:tc>
          <w:tcPr>
            <w:tcW w:w="277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b/>
                <w:bCs/>
                <w:color w:val="000000" w:themeColor="text1"/>
                <w:sz w:val="22"/>
                <w:szCs w:val="22"/>
              </w:rPr>
              <w:t>2012</w:t>
            </w:r>
          </w:p>
        </w:tc>
        <w:tc>
          <w:tcPr>
            <w:tcW w:w="20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b/>
                <w:bCs/>
                <w:color w:val="000000" w:themeColor="text1"/>
                <w:sz w:val="22"/>
                <w:szCs w:val="22"/>
              </w:rPr>
              <w:t>2013</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b/>
                <w:bCs/>
                <w:color w:val="000000" w:themeColor="text1"/>
                <w:sz w:val="22"/>
                <w:szCs w:val="22"/>
              </w:rPr>
              <w:t>2014</w:t>
            </w:r>
          </w:p>
        </w:tc>
      </w:tr>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Capitale sociale</w:t>
            </w:r>
          </w:p>
        </w:tc>
        <w:tc>
          <w:tcPr>
            <w:tcW w:w="277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155.580,00 </w:t>
            </w:r>
          </w:p>
        </w:tc>
        <w:tc>
          <w:tcPr>
            <w:tcW w:w="20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155.580,00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155.580,00 </w:t>
            </w:r>
          </w:p>
        </w:tc>
      </w:tr>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Patrimonio netto</w:t>
            </w:r>
          </w:p>
        </w:tc>
        <w:tc>
          <w:tcPr>
            <w:tcW w:w="277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503.734,00 </w:t>
            </w:r>
          </w:p>
        </w:tc>
        <w:tc>
          <w:tcPr>
            <w:tcW w:w="20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550.016,00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477.133,00 </w:t>
            </w:r>
          </w:p>
        </w:tc>
      </w:tr>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Indebitamento</w:t>
            </w:r>
          </w:p>
        </w:tc>
        <w:tc>
          <w:tcPr>
            <w:tcW w:w="277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8.576.539,00 </w:t>
            </w:r>
          </w:p>
        </w:tc>
        <w:tc>
          <w:tcPr>
            <w:tcW w:w="20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8.247.043,00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7.487.004,00 </w:t>
            </w:r>
          </w:p>
        </w:tc>
      </w:tr>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Personale (unit</w:t>
            </w:r>
            <w:r w:rsidRPr="00F63A96">
              <w:rPr>
                <w:rFonts w:hAnsi="Calibri"/>
                <w:color w:val="000000" w:themeColor="text1"/>
                <w:sz w:val="22"/>
                <w:szCs w:val="22"/>
              </w:rPr>
              <w:t>à</w:t>
            </w:r>
            <w:r w:rsidRPr="00F63A96">
              <w:rPr>
                <w:rFonts w:ascii="Calibri"/>
                <w:color w:val="000000" w:themeColor="text1"/>
                <w:sz w:val="22"/>
                <w:szCs w:val="22"/>
              </w:rPr>
              <w:t>)</w:t>
            </w:r>
          </w:p>
        </w:tc>
        <w:tc>
          <w:tcPr>
            <w:tcW w:w="277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57 </w:t>
            </w:r>
          </w:p>
        </w:tc>
        <w:tc>
          <w:tcPr>
            <w:tcW w:w="20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jc w:val="right"/>
              <w:rPr>
                <w:color w:val="000000" w:themeColor="text1"/>
              </w:rPr>
            </w:pPr>
            <w:r w:rsidRPr="00F63A96">
              <w:rPr>
                <w:rFonts w:ascii="Calibri"/>
                <w:color w:val="000000" w:themeColor="text1"/>
                <w:sz w:val="22"/>
                <w:szCs w:val="22"/>
              </w:rPr>
              <w:t>60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60 </w:t>
            </w:r>
          </w:p>
        </w:tc>
      </w:tr>
      <w:tr w:rsidR="003F31B5" w:rsidRPr="00F63A96" w:rsidTr="00531E57">
        <w:trPr>
          <w:trHeight w:val="280"/>
        </w:trPr>
        <w:tc>
          <w:tcPr>
            <w:tcW w:w="19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pStyle w:val="Stiletabella2"/>
              <w:rPr>
                <w:color w:val="000000" w:themeColor="text1"/>
              </w:rPr>
            </w:pPr>
            <w:r w:rsidRPr="00F63A96">
              <w:rPr>
                <w:rFonts w:ascii="Calibri"/>
                <w:color w:val="000000" w:themeColor="text1"/>
                <w:sz w:val="22"/>
                <w:szCs w:val="22"/>
              </w:rPr>
              <w:t>Personale (costo)</w:t>
            </w:r>
          </w:p>
        </w:tc>
        <w:tc>
          <w:tcPr>
            <w:tcW w:w="277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1.724.715,00 </w:t>
            </w:r>
          </w:p>
        </w:tc>
        <w:tc>
          <w:tcPr>
            <w:tcW w:w="20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1.993.675,00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3F31B5" w:rsidRPr="00F63A96" w:rsidRDefault="003F31B5" w:rsidP="00531E57">
            <w:pPr>
              <w:jc w:val="right"/>
              <w:rPr>
                <w:color w:val="000000" w:themeColor="text1"/>
              </w:rPr>
            </w:pPr>
            <w:r w:rsidRPr="00F63A96">
              <w:rPr>
                <w:rFonts w:ascii="Calibri"/>
                <w:color w:val="000000" w:themeColor="text1"/>
                <w:sz w:val="22"/>
                <w:szCs w:val="22"/>
              </w:rPr>
              <w:t xml:space="preserve"> </w:t>
            </w:r>
            <w:r w:rsidRPr="00F63A96">
              <w:rPr>
                <w:rFonts w:ascii="Calibri"/>
                <w:color w:val="000000" w:themeColor="text1"/>
                <w:sz w:val="22"/>
                <w:szCs w:val="22"/>
              </w:rPr>
              <w:tab/>
              <w:t xml:space="preserve">2.146.611,00 </w:t>
            </w:r>
          </w:p>
        </w:tc>
      </w:tr>
    </w:tbl>
    <w:p w:rsidR="003F31B5" w:rsidRPr="00F63A96"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 xml:space="preserve">La gestione delle farmacie dei comuni consorziati titolari è stata quindi affidata direttamente alla ridetta società mista </w:t>
      </w:r>
      <w:r w:rsidR="003B4079">
        <w:rPr>
          <w:rFonts w:ascii="Verdana" w:hAnsi="Verdana"/>
          <w:color w:val="000000" w:themeColor="text1"/>
          <w:sz w:val="20"/>
          <w:szCs w:val="20"/>
        </w:rPr>
        <w:t>INCOFARMA</w:t>
      </w:r>
      <w:r w:rsidRPr="00F10358">
        <w:rPr>
          <w:rFonts w:ascii="Verdana" w:hAnsi="Verdana"/>
          <w:color w:val="000000" w:themeColor="text1"/>
          <w:sz w:val="20"/>
          <w:szCs w:val="20"/>
        </w:rPr>
        <w:t xml:space="preserve"> per effetto dell’art. 3 dello Statuto del Consorzio.</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lastRenderedPageBreak/>
        <w:t xml:space="preserve">In virtù di patti parasociali, </w:t>
      </w:r>
      <w:r w:rsidR="00B22D45">
        <w:rPr>
          <w:rFonts w:ascii="Verdana" w:hAnsi="Verdana"/>
          <w:color w:val="000000" w:themeColor="text1"/>
          <w:sz w:val="20"/>
          <w:szCs w:val="20"/>
        </w:rPr>
        <w:t xml:space="preserve">rimane preminente il ruolo della parte privata nella </w:t>
      </w:r>
      <w:proofErr w:type="spellStart"/>
      <w:r w:rsidRPr="00F10358">
        <w:rPr>
          <w:rFonts w:ascii="Verdana" w:hAnsi="Verdana"/>
          <w:i/>
          <w:color w:val="000000" w:themeColor="text1"/>
          <w:sz w:val="20"/>
          <w:szCs w:val="20"/>
        </w:rPr>
        <w:t>governance</w:t>
      </w:r>
      <w:proofErr w:type="spellEnd"/>
      <w:r w:rsidRPr="00F10358">
        <w:rPr>
          <w:rFonts w:ascii="Verdana" w:hAnsi="Verdana"/>
          <w:color w:val="000000" w:themeColor="text1"/>
          <w:sz w:val="20"/>
          <w:szCs w:val="20"/>
        </w:rPr>
        <w:t xml:space="preserve"> societaria, </w:t>
      </w:r>
      <w:r w:rsidR="00B22D45">
        <w:rPr>
          <w:rFonts w:ascii="Verdana" w:hAnsi="Verdana"/>
          <w:color w:val="000000" w:themeColor="text1"/>
          <w:sz w:val="20"/>
          <w:szCs w:val="20"/>
        </w:rPr>
        <w:t>ferma restando la rappresentanza di</w:t>
      </w:r>
      <w:r w:rsidRPr="00F10358">
        <w:rPr>
          <w:rFonts w:ascii="Verdana" w:hAnsi="Verdana"/>
          <w:color w:val="000000" w:themeColor="text1"/>
          <w:sz w:val="20"/>
          <w:szCs w:val="20"/>
        </w:rPr>
        <w:t xml:space="preserve"> parte pubblica. </w:t>
      </w:r>
    </w:p>
    <w:p w:rsidR="00A22BF8" w:rsidRPr="00F10358" w:rsidRDefault="00A22BF8" w:rsidP="00A22BF8">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Per quanto concerne il consi</w:t>
      </w:r>
      <w:r w:rsidR="009A063F" w:rsidRPr="00F10358">
        <w:rPr>
          <w:rFonts w:ascii="Verdana" w:hAnsi="Verdana"/>
          <w:color w:val="000000" w:themeColor="text1"/>
          <w:sz w:val="20"/>
          <w:szCs w:val="20"/>
        </w:rPr>
        <w:t xml:space="preserve">glio di amministrazione di </w:t>
      </w:r>
      <w:r w:rsidR="003B4079">
        <w:rPr>
          <w:rFonts w:ascii="Verdana" w:hAnsi="Verdana"/>
          <w:color w:val="000000" w:themeColor="text1"/>
          <w:sz w:val="20"/>
          <w:szCs w:val="20"/>
        </w:rPr>
        <w:t>INCOFARMA</w:t>
      </w:r>
      <w:r w:rsidRPr="00F10358">
        <w:rPr>
          <w:rFonts w:ascii="Verdana" w:hAnsi="Verdana"/>
          <w:color w:val="000000" w:themeColor="text1"/>
          <w:sz w:val="20"/>
          <w:szCs w:val="20"/>
        </w:rPr>
        <w:t>, ai sensi dell’art. 2 dei richiamati Patti:</w:t>
      </w:r>
    </w:p>
    <w:p w:rsidR="00A22BF8" w:rsidRPr="00F10358" w:rsidRDefault="00A22BF8" w:rsidP="00A22BF8">
      <w:pPr>
        <w:pStyle w:val="Paragrafoelenco"/>
        <w:numPr>
          <w:ilvl w:val="0"/>
          <w:numId w:val="45"/>
        </w:numPr>
        <w:shd w:val="clear" w:color="auto" w:fill="FEFFFF"/>
        <w:spacing w:line="360" w:lineRule="auto"/>
        <w:jc w:val="both"/>
        <w:rPr>
          <w:rFonts w:ascii="Verdana" w:hAnsi="Verdana"/>
          <w:color w:val="000000" w:themeColor="text1"/>
          <w:sz w:val="20"/>
          <w:szCs w:val="20"/>
        </w:rPr>
      </w:pPr>
      <w:r w:rsidRPr="00F10358">
        <w:rPr>
          <w:rFonts w:ascii="Verdana" w:hAnsi="Verdana"/>
          <w:color w:val="000000" w:themeColor="text1"/>
          <w:sz w:val="20"/>
          <w:szCs w:val="20"/>
        </w:rPr>
        <w:t xml:space="preserve"> </w:t>
      </w:r>
      <w:proofErr w:type="gramStart"/>
      <w:r w:rsidRPr="00F10358">
        <w:rPr>
          <w:rFonts w:ascii="Verdana" w:hAnsi="Verdana"/>
          <w:color w:val="000000" w:themeColor="text1"/>
          <w:sz w:val="20"/>
          <w:szCs w:val="20"/>
        </w:rPr>
        <w:t>il</w:t>
      </w:r>
      <w:proofErr w:type="gramEnd"/>
      <w:r w:rsidRPr="00F10358">
        <w:rPr>
          <w:rFonts w:ascii="Verdana" w:hAnsi="Verdana"/>
          <w:color w:val="000000" w:themeColor="text1"/>
          <w:sz w:val="20"/>
          <w:szCs w:val="20"/>
        </w:rPr>
        <w:t xml:space="preserve"> CISS nomina 4 consiglieri (tra i quali vendo eletti il Presidente ed il Vicepresidente del C.d.A.)</w:t>
      </w:r>
      <w:r w:rsidR="004434D2">
        <w:rPr>
          <w:rFonts w:ascii="Verdana" w:hAnsi="Verdana"/>
          <w:color w:val="000000" w:themeColor="text1"/>
          <w:sz w:val="20"/>
          <w:szCs w:val="20"/>
        </w:rPr>
        <w:t>;</w:t>
      </w:r>
      <w:r w:rsidRPr="00F10358">
        <w:rPr>
          <w:rFonts w:ascii="Verdana" w:hAnsi="Verdana"/>
          <w:color w:val="000000" w:themeColor="text1"/>
          <w:sz w:val="20"/>
          <w:szCs w:val="20"/>
        </w:rPr>
        <w:t xml:space="preserve"> </w:t>
      </w:r>
    </w:p>
    <w:p w:rsidR="00A22BF8" w:rsidRPr="00F10358" w:rsidRDefault="00A22BF8" w:rsidP="00A22BF8">
      <w:pPr>
        <w:pStyle w:val="Paragrafoelenco"/>
        <w:numPr>
          <w:ilvl w:val="0"/>
          <w:numId w:val="45"/>
        </w:numPr>
        <w:shd w:val="clear" w:color="auto" w:fill="FEFFFF"/>
        <w:spacing w:line="360" w:lineRule="auto"/>
        <w:jc w:val="both"/>
        <w:rPr>
          <w:rFonts w:ascii="Verdana" w:hAnsi="Verdana"/>
          <w:color w:val="000000" w:themeColor="text1"/>
          <w:sz w:val="20"/>
          <w:szCs w:val="20"/>
        </w:rPr>
      </w:pPr>
      <w:r w:rsidRPr="00F10358">
        <w:rPr>
          <w:rFonts w:ascii="Verdana" w:hAnsi="Verdana"/>
          <w:color w:val="000000" w:themeColor="text1"/>
          <w:sz w:val="20"/>
          <w:szCs w:val="20"/>
        </w:rPr>
        <w:t>SOCIGESS nomina 5 consiglieri e individua tra gli stessi l’Amministratore Delegato (con poteri di amministrazione ordinaria nei limiti di cui all'art. 2381 c.c. e quindi con l'esclusione delle attribuzioni di cui agli articoli 2423, 2443, 2446 e 2447, 2501 ter e 2506 bis c.c.).</w:t>
      </w:r>
    </w:p>
    <w:p w:rsidR="00A22BF8" w:rsidRPr="00F10358" w:rsidRDefault="00A22BF8" w:rsidP="00A22BF8">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 xml:space="preserve">Con la modifica dell’art. 16 Statuto della società (Assemblea straordinaria 30 aprile 2008) il Consiglio di Amministrazione può essere composto da un minimo di 5 ad un massimo di 9 membri. La parte pubblica, nell’attuale C.d.A. composto da 5 membri, si vede riservati 2 consiglieri su 5 (Presidente e Vicepresidente, rispettivamente, </w:t>
      </w:r>
      <w:proofErr w:type="gramStart"/>
      <w:r w:rsidRPr="00F10358">
        <w:rPr>
          <w:rFonts w:ascii="Verdana" w:hAnsi="Verdana"/>
          <w:color w:val="000000" w:themeColor="text1"/>
          <w:sz w:val="20"/>
          <w:szCs w:val="20"/>
        </w:rPr>
        <w:t>attualmente,  il</w:t>
      </w:r>
      <w:proofErr w:type="gramEnd"/>
      <w:r w:rsidRPr="00F10358">
        <w:rPr>
          <w:rFonts w:ascii="Verdana" w:hAnsi="Verdana"/>
          <w:color w:val="000000" w:themeColor="text1"/>
          <w:sz w:val="20"/>
          <w:szCs w:val="20"/>
        </w:rPr>
        <w:t xml:space="preserve"> Sindaco in carica del Comune di Castel Volturno e quello del Comune di Sant' Antonio Abbate).</w:t>
      </w:r>
    </w:p>
    <w:p w:rsidR="00A22BF8" w:rsidRPr="00F10358" w:rsidRDefault="00A22BF8" w:rsidP="00A22BF8">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 xml:space="preserve">Per quanto concerne il Collegio sindacale di </w:t>
      </w:r>
      <w:r w:rsidR="003B4079">
        <w:rPr>
          <w:rFonts w:ascii="Verdana" w:hAnsi="Verdana"/>
          <w:color w:val="000000" w:themeColor="text1"/>
          <w:sz w:val="20"/>
          <w:szCs w:val="20"/>
        </w:rPr>
        <w:t>INCOFARMA</w:t>
      </w:r>
      <w:r w:rsidRPr="00F10358">
        <w:rPr>
          <w:rFonts w:ascii="Verdana" w:hAnsi="Verdana"/>
          <w:color w:val="000000" w:themeColor="text1"/>
          <w:sz w:val="20"/>
          <w:szCs w:val="20"/>
        </w:rPr>
        <w:t>, sempre in base agli stessi patti parasociali:</w:t>
      </w:r>
    </w:p>
    <w:p w:rsidR="00A22BF8" w:rsidRPr="00F10358" w:rsidRDefault="00A22BF8" w:rsidP="00A22BF8">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F10358">
        <w:rPr>
          <w:rFonts w:ascii="Verdana" w:hAnsi="Verdana"/>
          <w:color w:val="000000" w:themeColor="text1"/>
          <w:sz w:val="20"/>
          <w:szCs w:val="20"/>
        </w:rPr>
        <w:t>al</w:t>
      </w:r>
      <w:proofErr w:type="gramEnd"/>
      <w:r w:rsidRPr="00F10358">
        <w:rPr>
          <w:rFonts w:ascii="Verdana" w:hAnsi="Verdana"/>
          <w:color w:val="000000" w:themeColor="text1"/>
          <w:sz w:val="20"/>
          <w:szCs w:val="20"/>
        </w:rPr>
        <w:t xml:space="preserve"> CISS è riservata la nomina di due membri effettivi oltre ad uno supplente del Collegio sindacale;</w:t>
      </w:r>
    </w:p>
    <w:p w:rsidR="00A22BF8" w:rsidRPr="00F10358" w:rsidRDefault="00A22BF8" w:rsidP="00A22BF8">
      <w:pPr>
        <w:pStyle w:val="Paragrafoelenco"/>
        <w:numPr>
          <w:ilvl w:val="0"/>
          <w:numId w:val="45"/>
        </w:numPr>
        <w:shd w:val="clear" w:color="auto" w:fill="FEFFFF"/>
        <w:spacing w:line="360" w:lineRule="auto"/>
        <w:jc w:val="both"/>
        <w:rPr>
          <w:rFonts w:ascii="Verdana" w:hAnsi="Verdana"/>
          <w:color w:val="000000" w:themeColor="text1"/>
          <w:sz w:val="20"/>
          <w:szCs w:val="20"/>
        </w:rPr>
      </w:pPr>
      <w:r w:rsidRPr="00F10358">
        <w:rPr>
          <w:rFonts w:ascii="Verdana" w:hAnsi="Verdana"/>
          <w:color w:val="000000" w:themeColor="text1"/>
          <w:sz w:val="20"/>
          <w:szCs w:val="20"/>
        </w:rPr>
        <w:t xml:space="preserve"> </w:t>
      </w:r>
      <w:proofErr w:type="gramStart"/>
      <w:r w:rsidRPr="00F10358">
        <w:rPr>
          <w:rFonts w:ascii="Verdana" w:hAnsi="Verdana"/>
          <w:color w:val="000000" w:themeColor="text1"/>
          <w:sz w:val="20"/>
          <w:szCs w:val="20"/>
        </w:rPr>
        <w:t>al</w:t>
      </w:r>
      <w:proofErr w:type="gramEnd"/>
      <w:r w:rsidRPr="00F10358">
        <w:rPr>
          <w:rFonts w:ascii="Verdana" w:hAnsi="Verdana"/>
          <w:color w:val="000000" w:themeColor="text1"/>
          <w:sz w:val="20"/>
          <w:szCs w:val="20"/>
        </w:rPr>
        <w:t xml:space="preserve"> socio privato spetta la nomina del terzo componente (e di un supplente) che ricopre il ruolo di Presidente del collegio</w:t>
      </w:r>
      <w:r w:rsidR="004434D2">
        <w:rPr>
          <w:rFonts w:ascii="Verdana" w:hAnsi="Verdana"/>
          <w:color w:val="000000" w:themeColor="text1"/>
          <w:sz w:val="20"/>
          <w:szCs w:val="20"/>
        </w:rPr>
        <w:t>.</w:t>
      </w:r>
    </w:p>
    <w:p w:rsidR="003F31B5" w:rsidRPr="00F10358" w:rsidRDefault="00A22BF8" w:rsidP="00A22BF8">
      <w:pPr>
        <w:shd w:val="clear" w:color="auto" w:fill="FEFFFF"/>
        <w:spacing w:line="360" w:lineRule="auto"/>
        <w:ind w:firstLine="354"/>
        <w:jc w:val="both"/>
        <w:rPr>
          <w:rStyle w:val="Numeropagina"/>
          <w:rFonts w:ascii="Verdana" w:eastAsia="Verdana" w:hAnsi="Verdana" w:cs="Verdana"/>
          <w:color w:val="000000" w:themeColor="text1"/>
          <w:sz w:val="20"/>
          <w:szCs w:val="20"/>
        </w:rPr>
      </w:pPr>
      <w:r w:rsidRPr="00F10358">
        <w:rPr>
          <w:rStyle w:val="Numeropagina"/>
          <w:rFonts w:ascii="Verdana" w:hAnsi="Verdana"/>
          <w:color w:val="000000" w:themeColor="text1"/>
          <w:sz w:val="20"/>
          <w:szCs w:val="20"/>
        </w:rPr>
        <w:t xml:space="preserve">L’aggiudicazione del servizio, sulla base del bando e del capitolato di gara che ha preceduto la costituzione di </w:t>
      </w:r>
      <w:r w:rsidR="003B4079">
        <w:rPr>
          <w:rStyle w:val="Numeropagina"/>
          <w:rFonts w:ascii="Verdana" w:hAnsi="Verdana"/>
          <w:color w:val="000000" w:themeColor="text1"/>
          <w:sz w:val="20"/>
          <w:szCs w:val="20"/>
        </w:rPr>
        <w:t>INCOFARMA</w:t>
      </w:r>
      <w:r w:rsidR="003F31B5" w:rsidRPr="00F10358">
        <w:rPr>
          <w:rStyle w:val="Numeropagina"/>
          <w:rFonts w:ascii="Verdana" w:hAnsi="Verdana"/>
          <w:color w:val="000000" w:themeColor="text1"/>
          <w:sz w:val="20"/>
          <w:szCs w:val="20"/>
        </w:rPr>
        <w:t>:</w:t>
      </w:r>
    </w:p>
    <w:p w:rsidR="003F31B5" w:rsidRPr="00F10358" w:rsidRDefault="003F31B5" w:rsidP="003F31B5">
      <w:pPr>
        <w:pStyle w:val="Paragrafoelenco"/>
        <w:numPr>
          <w:ilvl w:val="0"/>
          <w:numId w:val="3"/>
        </w:numPr>
        <w:shd w:val="clear" w:color="auto" w:fill="FEFFFF"/>
        <w:tabs>
          <w:tab w:val="num" w:pos="994"/>
        </w:tabs>
        <w:spacing w:line="360" w:lineRule="auto"/>
        <w:ind w:left="426" w:hanging="357"/>
        <w:jc w:val="both"/>
        <w:rPr>
          <w:rStyle w:val="Numeropagina"/>
          <w:rFonts w:ascii="Verdana" w:eastAsia="Verdana" w:hAnsi="Verdana" w:cs="Verdana"/>
          <w:color w:val="000000" w:themeColor="text1"/>
          <w:sz w:val="20"/>
          <w:szCs w:val="20"/>
        </w:rPr>
      </w:pPr>
      <w:proofErr w:type="gramStart"/>
      <w:r w:rsidRPr="00F10358">
        <w:rPr>
          <w:rFonts w:ascii="Verdana" w:hAnsi="Verdana"/>
          <w:bCs/>
          <w:color w:val="000000" w:themeColor="text1"/>
          <w:sz w:val="20"/>
          <w:szCs w:val="20"/>
        </w:rPr>
        <w:t>è</w:t>
      </w:r>
      <w:proofErr w:type="gramEnd"/>
      <w:r w:rsidRPr="00F10358">
        <w:rPr>
          <w:rFonts w:ascii="Verdana" w:hAnsi="Verdana"/>
          <w:bCs/>
          <w:color w:val="000000" w:themeColor="text1"/>
          <w:sz w:val="20"/>
          <w:szCs w:val="20"/>
        </w:rPr>
        <w:t xml:space="preserve"> trentennale</w:t>
      </w:r>
      <w:r w:rsidRPr="00F10358">
        <w:rPr>
          <w:rStyle w:val="Numeropagina"/>
          <w:rFonts w:ascii="Verdana" w:hAnsi="Verdana"/>
          <w:color w:val="000000" w:themeColor="text1"/>
          <w:sz w:val="20"/>
          <w:szCs w:val="20"/>
        </w:rPr>
        <w:t xml:space="preserve"> e</w:t>
      </w:r>
      <w:r w:rsidR="004434D2">
        <w:rPr>
          <w:rStyle w:val="Numeropagina"/>
          <w:rFonts w:ascii="Verdana" w:hAnsi="Verdana"/>
          <w:color w:val="000000" w:themeColor="text1"/>
          <w:sz w:val="20"/>
          <w:szCs w:val="20"/>
        </w:rPr>
        <w:t xml:space="preserve"> regolata</w:t>
      </w:r>
      <w:r w:rsidRPr="00F10358">
        <w:rPr>
          <w:rStyle w:val="Numeropagina"/>
          <w:rFonts w:ascii="Verdana" w:hAnsi="Verdana"/>
          <w:color w:val="000000" w:themeColor="text1"/>
          <w:sz w:val="20"/>
          <w:szCs w:val="20"/>
        </w:rPr>
        <w:t xml:space="preserve"> da contratti di servizio di pari durata, il primo stipulato nel 2005 e poi aggiornato con un contratto nel 2007 e poi, successivamente nel 2014;</w:t>
      </w:r>
    </w:p>
    <w:p w:rsidR="003F31B5" w:rsidRPr="00F10358" w:rsidRDefault="003F31B5" w:rsidP="003F31B5">
      <w:pPr>
        <w:pStyle w:val="Paragrafoelenco"/>
        <w:numPr>
          <w:ilvl w:val="0"/>
          <w:numId w:val="4"/>
        </w:numPr>
        <w:shd w:val="clear" w:color="auto" w:fill="FEFFFF"/>
        <w:spacing w:line="360" w:lineRule="auto"/>
        <w:ind w:left="426" w:hanging="357"/>
        <w:jc w:val="both"/>
        <w:rPr>
          <w:rFonts w:ascii="Verdana" w:eastAsia="Verdana" w:hAnsi="Verdana" w:cs="Verdana"/>
          <w:color w:val="000000" w:themeColor="text1"/>
          <w:sz w:val="20"/>
          <w:szCs w:val="20"/>
        </w:rPr>
      </w:pPr>
      <w:r w:rsidRPr="00F10358">
        <w:rPr>
          <w:rFonts w:ascii="Verdana" w:hAnsi="Verdana"/>
          <w:color w:val="000000" w:themeColor="text1"/>
          <w:sz w:val="20"/>
          <w:szCs w:val="20"/>
        </w:rPr>
        <w:t xml:space="preserve">inoltre, in base allo Statuto del Consorzio e alla convenzioni di servizio, l’adesione di nuovi comuni al CISS, successiva all’affidamento della gestione delle sedi farmaceutiche alla ridetta società mista, </w:t>
      </w:r>
      <w:r w:rsidRPr="00F10358">
        <w:rPr>
          <w:rFonts w:ascii="Verdana" w:hAnsi="Verdana"/>
          <w:bCs/>
          <w:color w:val="000000" w:themeColor="text1"/>
          <w:sz w:val="20"/>
          <w:szCs w:val="20"/>
        </w:rPr>
        <w:t xml:space="preserve">comporta per il comune quale nuovo consorziato, l’automatico trasferimento della gestione della farmacia comunale ad </w:t>
      </w:r>
      <w:r w:rsidR="003B4079">
        <w:rPr>
          <w:rFonts w:ascii="Verdana" w:hAnsi="Verdana"/>
          <w:bCs/>
          <w:color w:val="000000" w:themeColor="text1"/>
          <w:sz w:val="20"/>
          <w:szCs w:val="20"/>
        </w:rPr>
        <w:t>INCOFARMA</w:t>
      </w:r>
      <w:r w:rsidRPr="00F10358">
        <w:rPr>
          <w:rFonts w:ascii="Verdana" w:hAnsi="Verdana"/>
          <w:color w:val="000000" w:themeColor="text1"/>
          <w:sz w:val="20"/>
          <w:szCs w:val="20"/>
        </w:rPr>
        <w:t xml:space="preserve"> (art. 3 dello Statuto e del CISS, nonché art. 5 della convenzione di servizio del 2005  e art. 6 della convenzione di servizio del 2007 e del 2014: «</w:t>
      </w:r>
      <w:r w:rsidRPr="00F10358">
        <w:rPr>
          <w:rFonts w:ascii="Verdana" w:hAnsi="Verdana"/>
          <w:i/>
          <w:iCs/>
          <w:color w:val="000000" w:themeColor="text1"/>
          <w:sz w:val="20"/>
          <w:szCs w:val="20"/>
        </w:rPr>
        <w:t>Fermo l'obbligo a carico del soggetto gestore di accollarsi, in momentanea anticipazione, tutti i costi per l'apertura di ogni singola farmacia</w:t>
      </w:r>
      <w:r w:rsidRPr="00F10358">
        <w:rPr>
          <w:rFonts w:ascii="Verdana" w:hAnsi="Verdana"/>
          <w:color w:val="000000" w:themeColor="text1"/>
          <w:sz w:val="20"/>
          <w:szCs w:val="20"/>
        </w:rPr>
        <w:t xml:space="preserve">»). </w:t>
      </w:r>
    </w:p>
    <w:p w:rsidR="009A063F" w:rsidRPr="00F10358" w:rsidRDefault="00C30BE0" w:rsidP="004434D2">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b/>
          <w:color w:val="000000" w:themeColor="text1"/>
          <w:sz w:val="20"/>
          <w:szCs w:val="20"/>
        </w:rPr>
        <w:t>6</w:t>
      </w:r>
      <w:r w:rsidR="003F31B5" w:rsidRPr="00F10358">
        <w:rPr>
          <w:rFonts w:ascii="Verdana" w:hAnsi="Verdana"/>
          <w:b/>
          <w:color w:val="000000" w:themeColor="text1"/>
          <w:sz w:val="20"/>
          <w:szCs w:val="20"/>
        </w:rPr>
        <w:t>. Il contenzioso.</w:t>
      </w:r>
      <w:r w:rsidR="003F31B5" w:rsidRPr="00F10358">
        <w:rPr>
          <w:rFonts w:ascii="Verdana" w:hAnsi="Verdana"/>
          <w:color w:val="000000" w:themeColor="text1"/>
          <w:sz w:val="20"/>
          <w:szCs w:val="20"/>
        </w:rPr>
        <w:t xml:space="preserve"> La nascita e il primo sviluppo della società sono stati peraltro caratterizzati da un frequente e costante contenzioso</w:t>
      </w:r>
      <w:r w:rsidR="004434D2">
        <w:rPr>
          <w:rFonts w:ascii="Verdana" w:hAnsi="Verdana"/>
          <w:color w:val="000000" w:themeColor="text1"/>
          <w:sz w:val="20"/>
          <w:szCs w:val="20"/>
        </w:rPr>
        <w:t>, sintomo di</w:t>
      </w:r>
      <w:r w:rsidR="006E55AA">
        <w:rPr>
          <w:rFonts w:ascii="Verdana" w:hAnsi="Verdana"/>
          <w:color w:val="000000" w:themeColor="text1"/>
          <w:sz w:val="20"/>
          <w:szCs w:val="20"/>
        </w:rPr>
        <w:t xml:space="preserve"> </w:t>
      </w:r>
      <w:r w:rsidR="009A063F" w:rsidRPr="00F10358">
        <w:rPr>
          <w:rFonts w:ascii="Verdana" w:hAnsi="Verdana" w:cs="Verdana"/>
          <w:bCs/>
          <w:iCs/>
          <w:color w:val="000000" w:themeColor="text1"/>
          <w:sz w:val="20"/>
          <w:szCs w:val="20"/>
        </w:rPr>
        <w:t>una criticità di fondo del resto evidenziata nelle considerazioni svolte dallo stesso CISS nella relazione a valle dell’</w:t>
      </w:r>
      <w:proofErr w:type="spellStart"/>
      <w:r w:rsidR="009A063F" w:rsidRPr="00F10358">
        <w:rPr>
          <w:rFonts w:ascii="Verdana" w:hAnsi="Verdana" w:cs="Verdana"/>
          <w:bCs/>
          <w:iCs/>
          <w:color w:val="000000" w:themeColor="text1"/>
          <w:sz w:val="20"/>
          <w:szCs w:val="20"/>
        </w:rPr>
        <w:t>ord</w:t>
      </w:r>
      <w:proofErr w:type="spellEnd"/>
      <w:r w:rsidR="009A063F" w:rsidRPr="00F10358">
        <w:rPr>
          <w:rFonts w:ascii="Verdana" w:hAnsi="Verdana" w:cs="Verdana"/>
          <w:bCs/>
          <w:iCs/>
          <w:color w:val="000000" w:themeColor="text1"/>
          <w:sz w:val="20"/>
          <w:szCs w:val="20"/>
        </w:rPr>
        <w:t>. n. 215/2015, più volte richiamata (</w:t>
      </w:r>
      <w:proofErr w:type="spellStart"/>
      <w:r w:rsidR="009A063F" w:rsidRPr="00F10358">
        <w:rPr>
          <w:rFonts w:ascii="Verdana" w:hAnsi="Verdana" w:cs="Verdana"/>
          <w:bCs/>
          <w:iCs/>
          <w:color w:val="000000" w:themeColor="text1"/>
          <w:sz w:val="20"/>
          <w:szCs w:val="20"/>
        </w:rPr>
        <w:t>prot</w:t>
      </w:r>
      <w:proofErr w:type="spellEnd"/>
      <w:r w:rsidR="009A063F" w:rsidRPr="00F10358">
        <w:rPr>
          <w:rFonts w:ascii="Verdana" w:hAnsi="Verdana" w:cs="Verdana"/>
          <w:bCs/>
          <w:iCs/>
          <w:color w:val="000000" w:themeColor="text1"/>
          <w:sz w:val="20"/>
          <w:szCs w:val="20"/>
        </w:rPr>
        <w:t xml:space="preserve">. CISS 2329 del 12/11/2015). Il CISS, segnatamente, riferisce che la fase "a regime" della </w:t>
      </w:r>
      <w:r w:rsidR="003B4079">
        <w:rPr>
          <w:rFonts w:ascii="Verdana" w:hAnsi="Verdana" w:cs="Verdana"/>
          <w:bCs/>
          <w:iCs/>
          <w:color w:val="000000" w:themeColor="text1"/>
          <w:sz w:val="20"/>
          <w:szCs w:val="20"/>
        </w:rPr>
        <w:t>INCOFARMA</w:t>
      </w:r>
      <w:r w:rsidR="009A063F" w:rsidRPr="00F10358">
        <w:rPr>
          <w:rFonts w:ascii="Verdana" w:hAnsi="Verdana" w:cs="Verdana"/>
          <w:bCs/>
          <w:iCs/>
          <w:color w:val="000000" w:themeColor="text1"/>
          <w:sz w:val="20"/>
          <w:szCs w:val="20"/>
        </w:rPr>
        <w:t>, dal punto di vista finanziario, è stata ritardata dai «</w:t>
      </w:r>
      <w:r w:rsidR="009A063F" w:rsidRPr="00F10358">
        <w:rPr>
          <w:rFonts w:ascii="Verdana" w:hAnsi="Verdana" w:cs="Verdana"/>
          <w:bCs/>
          <w:i/>
          <w:iCs/>
          <w:color w:val="000000" w:themeColor="text1"/>
          <w:sz w:val="20"/>
          <w:szCs w:val="20"/>
        </w:rPr>
        <w:t xml:space="preserve">numerosi ricorsi amministrativi che il </w:t>
      </w:r>
      <w:proofErr w:type="spellStart"/>
      <w:r w:rsidR="009A063F" w:rsidRPr="00F10358">
        <w:rPr>
          <w:rFonts w:ascii="Verdana" w:hAnsi="Verdana" w:cs="Verdana"/>
          <w:bCs/>
          <w:i/>
          <w:iCs/>
          <w:color w:val="000000" w:themeColor="text1"/>
          <w:sz w:val="20"/>
          <w:szCs w:val="20"/>
        </w:rPr>
        <w:t>ClSS</w:t>
      </w:r>
      <w:proofErr w:type="spellEnd"/>
      <w:r w:rsidR="009A063F" w:rsidRPr="00F10358">
        <w:rPr>
          <w:rFonts w:ascii="Verdana" w:hAnsi="Verdana" w:cs="Verdana"/>
          <w:bCs/>
          <w:i/>
          <w:iCs/>
          <w:color w:val="000000" w:themeColor="text1"/>
          <w:sz w:val="20"/>
          <w:szCs w:val="20"/>
        </w:rPr>
        <w:t xml:space="preserve"> e la stessa partecipata </w:t>
      </w:r>
      <w:r w:rsidR="003B4079">
        <w:rPr>
          <w:rFonts w:ascii="Verdana" w:hAnsi="Verdana" w:cs="Verdana"/>
          <w:bCs/>
          <w:i/>
          <w:iCs/>
          <w:color w:val="000000" w:themeColor="text1"/>
          <w:sz w:val="20"/>
          <w:szCs w:val="20"/>
        </w:rPr>
        <w:t>INCOFARMA</w:t>
      </w:r>
      <w:r w:rsidR="009A063F" w:rsidRPr="00F10358">
        <w:rPr>
          <w:rFonts w:ascii="Verdana" w:hAnsi="Verdana" w:cs="Verdana"/>
          <w:bCs/>
          <w:i/>
          <w:iCs/>
          <w:color w:val="000000" w:themeColor="text1"/>
          <w:sz w:val="20"/>
          <w:szCs w:val="20"/>
        </w:rPr>
        <w:t xml:space="preserve"> ha subito in </w:t>
      </w:r>
      <w:r w:rsidR="009A063F" w:rsidRPr="00F10358">
        <w:rPr>
          <w:rFonts w:ascii="Verdana" w:hAnsi="Verdana" w:cs="Verdana"/>
          <w:bCs/>
          <w:i/>
          <w:iCs/>
          <w:color w:val="000000" w:themeColor="text1"/>
          <w:sz w:val="20"/>
          <w:szCs w:val="20"/>
        </w:rPr>
        <w:lastRenderedPageBreak/>
        <w:t>quegli anni dai farmacisti privati ed a causa del ritardato rilascio dei decreti regionali di autorizzazione all'apertura delle farmacie di cui erano titolari i comuni consorziati</w:t>
      </w:r>
      <w:r w:rsidR="009A063F" w:rsidRPr="00F10358">
        <w:rPr>
          <w:rFonts w:ascii="Verdana" w:hAnsi="Verdana" w:cs="Verdana"/>
          <w:bCs/>
          <w:iCs/>
          <w:color w:val="000000" w:themeColor="text1"/>
          <w:sz w:val="20"/>
          <w:szCs w:val="20"/>
        </w:rPr>
        <w:t>».</w:t>
      </w:r>
    </w:p>
    <w:p w:rsidR="003F31B5" w:rsidRPr="00F10358" w:rsidRDefault="004806E6"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b/>
          <w:color w:val="000000" w:themeColor="text1"/>
          <w:sz w:val="20"/>
          <w:szCs w:val="20"/>
        </w:rPr>
        <w:t>6.1.</w:t>
      </w:r>
      <w:r w:rsidRPr="00F10358">
        <w:rPr>
          <w:rFonts w:ascii="Verdana" w:hAnsi="Verdana"/>
          <w:color w:val="000000" w:themeColor="text1"/>
          <w:sz w:val="20"/>
          <w:szCs w:val="20"/>
        </w:rPr>
        <w:t xml:space="preserve"> </w:t>
      </w:r>
      <w:r w:rsidR="003F31B5" w:rsidRPr="00F10358">
        <w:rPr>
          <w:rFonts w:ascii="Verdana" w:hAnsi="Verdana"/>
          <w:color w:val="000000" w:themeColor="text1"/>
          <w:sz w:val="20"/>
          <w:szCs w:val="20"/>
        </w:rPr>
        <w:t xml:space="preserve">In fase di costituzione, si segnala la vicenda culminata nella sentenza TAR Campania – Napoli, Sez. I, n.3135/2006. Con tale pronuncia il giudice delle prime cure aveva ritenuto illegittimi gli atti di affidamento del servizio, ritenendo che la costituzione della società mista fosse avvenuta in violazione dei principi </w:t>
      </w:r>
      <w:proofErr w:type="spellStart"/>
      <w:r w:rsidR="003F31B5" w:rsidRPr="00F10358">
        <w:rPr>
          <w:rFonts w:ascii="Verdana" w:hAnsi="Verdana"/>
          <w:color w:val="000000" w:themeColor="text1"/>
          <w:sz w:val="20"/>
          <w:szCs w:val="20"/>
        </w:rPr>
        <w:t>dell’</w:t>
      </w:r>
      <w:r w:rsidR="003F31B5" w:rsidRPr="00F10358">
        <w:rPr>
          <w:rFonts w:ascii="Verdana" w:hAnsi="Verdana"/>
          <w:i/>
          <w:color w:val="000000" w:themeColor="text1"/>
          <w:sz w:val="20"/>
          <w:szCs w:val="20"/>
        </w:rPr>
        <w:t>in</w:t>
      </w:r>
      <w:proofErr w:type="spellEnd"/>
      <w:r w:rsidR="003F31B5" w:rsidRPr="00F10358">
        <w:rPr>
          <w:rFonts w:ascii="Verdana" w:hAnsi="Verdana"/>
          <w:color w:val="000000" w:themeColor="text1"/>
          <w:sz w:val="20"/>
          <w:szCs w:val="20"/>
        </w:rPr>
        <w:t xml:space="preserve"> </w:t>
      </w:r>
      <w:proofErr w:type="spellStart"/>
      <w:r w:rsidR="003F31B5" w:rsidRPr="00F10358">
        <w:rPr>
          <w:rFonts w:ascii="Verdana" w:hAnsi="Verdana"/>
          <w:i/>
          <w:color w:val="000000" w:themeColor="text1"/>
          <w:sz w:val="20"/>
          <w:szCs w:val="20"/>
        </w:rPr>
        <w:t>house</w:t>
      </w:r>
      <w:proofErr w:type="spellEnd"/>
      <w:r w:rsidR="003F31B5" w:rsidRPr="00F10358">
        <w:rPr>
          <w:rFonts w:ascii="Verdana" w:hAnsi="Verdana"/>
          <w:i/>
          <w:color w:val="000000" w:themeColor="text1"/>
          <w:sz w:val="20"/>
          <w:szCs w:val="20"/>
        </w:rPr>
        <w:t xml:space="preserve"> </w:t>
      </w:r>
      <w:proofErr w:type="spellStart"/>
      <w:r w:rsidR="003F31B5" w:rsidRPr="00F10358">
        <w:rPr>
          <w:rFonts w:ascii="Verdana" w:hAnsi="Verdana"/>
          <w:i/>
          <w:color w:val="000000" w:themeColor="text1"/>
          <w:sz w:val="20"/>
          <w:szCs w:val="20"/>
        </w:rPr>
        <w:t>providing</w:t>
      </w:r>
      <w:proofErr w:type="spellEnd"/>
      <w:r w:rsidR="003F31B5" w:rsidRPr="00F10358">
        <w:rPr>
          <w:rFonts w:ascii="Verdana" w:hAnsi="Verdana"/>
          <w:color w:val="000000" w:themeColor="text1"/>
          <w:sz w:val="20"/>
          <w:szCs w:val="20"/>
        </w:rPr>
        <w:t>; il Consiglio di Stato (Sez. V, sentenza n. 167/2008) nondimeno, ritenendo che «</w:t>
      </w:r>
      <w:r w:rsidR="003F31B5" w:rsidRPr="00F10358">
        <w:rPr>
          <w:rFonts w:ascii="Verdana" w:hAnsi="Verdana"/>
          <w:i/>
          <w:color w:val="000000" w:themeColor="text1"/>
          <w:sz w:val="20"/>
          <w:szCs w:val="20"/>
        </w:rPr>
        <w:t>l’affidamento diretto del servizio di gestione delle farmacie  consortili […] si è concretizzato attraverso un procedimento a formazione progressiva, formato dall’ insieme degli atti con i quali il CISS è addivenuto alla selezione del socio privato ed alla costituzione di una nuova società (</w:t>
      </w:r>
      <w:r w:rsidR="003B4079">
        <w:rPr>
          <w:rFonts w:ascii="Verdana" w:hAnsi="Verdana"/>
          <w:i/>
          <w:color w:val="000000" w:themeColor="text1"/>
          <w:sz w:val="20"/>
          <w:szCs w:val="20"/>
        </w:rPr>
        <w:t>INCO</w:t>
      </w:r>
      <w:r w:rsidR="00345C24">
        <w:rPr>
          <w:rFonts w:ascii="Verdana" w:hAnsi="Verdana"/>
          <w:i/>
          <w:color w:val="000000" w:themeColor="text1"/>
          <w:sz w:val="20"/>
          <w:szCs w:val="20"/>
        </w:rPr>
        <w:t>.</w:t>
      </w:r>
      <w:r w:rsidR="003B4079">
        <w:rPr>
          <w:rFonts w:ascii="Verdana" w:hAnsi="Verdana"/>
          <w:i/>
          <w:color w:val="000000" w:themeColor="text1"/>
          <w:sz w:val="20"/>
          <w:szCs w:val="20"/>
        </w:rPr>
        <w:t>FARMA</w:t>
      </w:r>
      <w:r w:rsidR="003F31B5" w:rsidRPr="00F10358">
        <w:rPr>
          <w:rFonts w:ascii="Verdana" w:hAnsi="Verdana"/>
          <w:i/>
          <w:color w:val="000000" w:themeColor="text1"/>
          <w:sz w:val="20"/>
          <w:szCs w:val="20"/>
        </w:rPr>
        <w:t xml:space="preserve"> spa)</w:t>
      </w:r>
      <w:r w:rsidR="003F31B5" w:rsidRPr="00F10358">
        <w:rPr>
          <w:rFonts w:ascii="Verdana" w:hAnsi="Verdana"/>
          <w:color w:val="000000" w:themeColor="text1"/>
          <w:sz w:val="20"/>
          <w:szCs w:val="20"/>
        </w:rPr>
        <w:t xml:space="preserve">» e che la lesione immediata e diretta al bene della vita, consolidando l’interesse a ricorrere, era già presente al momento della pubblicazione del bando consortile e non già solo al momento dell’aggiudicazione e poi della costituzione della società, ha dichiarato irricevibili, per tardività, i ricorsi dei soggetti privati in primo grado, annullando la sentenza impugnata.  </w:t>
      </w:r>
    </w:p>
    <w:p w:rsidR="003F31B5" w:rsidRPr="00F10358" w:rsidRDefault="004806E6"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b/>
          <w:color w:val="000000" w:themeColor="text1"/>
          <w:sz w:val="20"/>
          <w:szCs w:val="20"/>
        </w:rPr>
        <w:t>6.2.</w:t>
      </w:r>
      <w:r w:rsidRPr="00F10358">
        <w:rPr>
          <w:rFonts w:ascii="Verdana" w:hAnsi="Verdana"/>
          <w:color w:val="000000" w:themeColor="text1"/>
          <w:sz w:val="20"/>
          <w:szCs w:val="20"/>
        </w:rPr>
        <w:t xml:space="preserve"> </w:t>
      </w:r>
      <w:r w:rsidR="003F31B5" w:rsidRPr="00F10358">
        <w:rPr>
          <w:rFonts w:ascii="Verdana" w:hAnsi="Verdana"/>
          <w:color w:val="000000" w:themeColor="text1"/>
          <w:sz w:val="20"/>
          <w:szCs w:val="20"/>
        </w:rPr>
        <w:t xml:space="preserve">Una successiva controversia ha riguardato la legittimità delle adesioni successive di altri comuni al Consorzio, con conferimento automatico delle licenze </w:t>
      </w:r>
      <w:proofErr w:type="spellStart"/>
      <w:r w:rsidR="003F31B5" w:rsidRPr="00F10358">
        <w:rPr>
          <w:rFonts w:ascii="Verdana" w:hAnsi="Verdana"/>
          <w:color w:val="000000" w:themeColor="text1"/>
          <w:sz w:val="20"/>
          <w:szCs w:val="20"/>
        </w:rPr>
        <w:t>prelazionate</w:t>
      </w:r>
      <w:proofErr w:type="spellEnd"/>
      <w:r w:rsidR="00AD2B05">
        <w:rPr>
          <w:rFonts w:ascii="Verdana" w:hAnsi="Verdana"/>
          <w:color w:val="000000" w:themeColor="text1"/>
          <w:sz w:val="20"/>
          <w:szCs w:val="20"/>
        </w:rPr>
        <w:t>, contestata</w:t>
      </w:r>
      <w:r w:rsidR="00AD2B05" w:rsidRPr="00F10358">
        <w:rPr>
          <w:rFonts w:ascii="Verdana" w:hAnsi="Verdana"/>
          <w:color w:val="000000" w:themeColor="text1"/>
          <w:sz w:val="20"/>
          <w:szCs w:val="20"/>
        </w:rPr>
        <w:t xml:space="preserve"> </w:t>
      </w:r>
      <w:r w:rsidR="003F31B5" w:rsidRPr="00F10358">
        <w:rPr>
          <w:rFonts w:ascii="Verdana" w:hAnsi="Verdana"/>
          <w:color w:val="000000" w:themeColor="text1"/>
          <w:sz w:val="20"/>
          <w:szCs w:val="20"/>
        </w:rPr>
        <w:t>in sede di impugnazione del relativo decreto regionale di autorizzazione all’apertura della farmacia.</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 xml:space="preserve">Anche in questo caso, il Consiglio </w:t>
      </w:r>
      <w:r w:rsidR="003B4079">
        <w:rPr>
          <w:rFonts w:ascii="Verdana" w:hAnsi="Verdana"/>
          <w:color w:val="000000" w:themeColor="text1"/>
          <w:sz w:val="20"/>
          <w:szCs w:val="20"/>
        </w:rPr>
        <w:t>d</w:t>
      </w:r>
      <w:r w:rsidRPr="00F10358">
        <w:rPr>
          <w:rFonts w:ascii="Verdana" w:hAnsi="Verdana"/>
          <w:color w:val="000000" w:themeColor="text1"/>
          <w:sz w:val="20"/>
          <w:szCs w:val="20"/>
        </w:rPr>
        <w:t xml:space="preserve">i Stato (sez. V, sentenza n. 1288/2010) ha emesso una pronuncia di rito, rilevando l’irricevibilità, per tardività, del ricorso di primo grado (deciso nel merito con sentenza TAR Campania, Napoli, sez. V, sentenza n. 14697/2008). </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 xml:space="preserve">Il Giudice di appello, infatti, ha evidenziato che l’adesione al Consorzio implica allo stesso tempo la scelta sulla modalità </w:t>
      </w:r>
      <w:proofErr w:type="spellStart"/>
      <w:r w:rsidRPr="00F10358">
        <w:rPr>
          <w:rFonts w:ascii="Verdana" w:hAnsi="Verdana"/>
          <w:color w:val="000000" w:themeColor="text1"/>
          <w:sz w:val="20"/>
          <w:szCs w:val="20"/>
        </w:rPr>
        <w:t>gestoria</w:t>
      </w:r>
      <w:proofErr w:type="spellEnd"/>
      <w:r w:rsidRPr="00F10358">
        <w:rPr>
          <w:rFonts w:ascii="Verdana" w:hAnsi="Verdana"/>
          <w:color w:val="000000" w:themeColor="text1"/>
          <w:sz w:val="20"/>
          <w:szCs w:val="20"/>
        </w:rPr>
        <w:t xml:space="preserve"> delle farmacie (erogazione del servizio a mezzo società mista a partecipazione prevalente del privato) </w:t>
      </w:r>
      <w:r w:rsidR="00AD2B05">
        <w:rPr>
          <w:rFonts w:ascii="Verdana" w:hAnsi="Verdana"/>
          <w:color w:val="000000" w:themeColor="text1"/>
          <w:sz w:val="20"/>
          <w:szCs w:val="20"/>
        </w:rPr>
        <w:t>mentre</w:t>
      </w:r>
      <w:r w:rsidRPr="00F10358">
        <w:rPr>
          <w:rFonts w:ascii="Verdana" w:hAnsi="Verdana"/>
          <w:color w:val="000000" w:themeColor="text1"/>
          <w:sz w:val="20"/>
          <w:szCs w:val="20"/>
        </w:rPr>
        <w:t xml:space="preserve"> il decreto regionale di autorizzazione all’apertura della sede si limita a verificare esclusivamente il requisito soggettivo del titolare (comune </w:t>
      </w:r>
      <w:proofErr w:type="spellStart"/>
      <w:r w:rsidRPr="00F10358">
        <w:rPr>
          <w:rFonts w:ascii="Verdana" w:hAnsi="Verdana"/>
          <w:color w:val="000000" w:themeColor="text1"/>
          <w:sz w:val="20"/>
          <w:szCs w:val="20"/>
        </w:rPr>
        <w:t>prelazionante</w:t>
      </w:r>
      <w:proofErr w:type="spellEnd"/>
      <w:r w:rsidRPr="00F10358">
        <w:rPr>
          <w:rFonts w:ascii="Verdana" w:hAnsi="Verdana"/>
          <w:color w:val="000000" w:themeColor="text1"/>
          <w:sz w:val="20"/>
          <w:szCs w:val="20"/>
        </w:rPr>
        <w:t>) «</w:t>
      </w:r>
      <w:r w:rsidRPr="00F10358">
        <w:rPr>
          <w:rFonts w:ascii="Verdana" w:hAnsi="Verdana"/>
          <w:i/>
          <w:color w:val="000000" w:themeColor="text1"/>
          <w:sz w:val="20"/>
          <w:szCs w:val="20"/>
        </w:rPr>
        <w:t>senza alcuna valutazione in ordine alla correttezza del modulo organizzativo</w:t>
      </w:r>
      <w:r w:rsidRPr="00F10358">
        <w:rPr>
          <w:rFonts w:ascii="Verdana" w:hAnsi="Verdana"/>
          <w:color w:val="000000" w:themeColor="text1"/>
          <w:sz w:val="20"/>
          <w:szCs w:val="20"/>
        </w:rPr>
        <w:t>»; rilevava</w:t>
      </w:r>
      <w:r w:rsidR="00AD2B05">
        <w:rPr>
          <w:rFonts w:ascii="Verdana" w:hAnsi="Verdana"/>
          <w:color w:val="000000" w:themeColor="text1"/>
          <w:sz w:val="20"/>
          <w:szCs w:val="20"/>
        </w:rPr>
        <w:t>,</w:t>
      </w:r>
      <w:r w:rsidRPr="00F10358">
        <w:rPr>
          <w:rFonts w:ascii="Verdana" w:hAnsi="Verdana"/>
          <w:color w:val="000000" w:themeColor="text1"/>
          <w:sz w:val="20"/>
          <w:szCs w:val="20"/>
        </w:rPr>
        <w:t xml:space="preserve"> pertanto</w:t>
      </w:r>
      <w:r w:rsidR="00AD2B05">
        <w:rPr>
          <w:rFonts w:ascii="Verdana" w:hAnsi="Verdana"/>
          <w:color w:val="000000" w:themeColor="text1"/>
          <w:sz w:val="20"/>
          <w:szCs w:val="20"/>
        </w:rPr>
        <w:t>,</w:t>
      </w:r>
      <w:r w:rsidRPr="00F10358">
        <w:rPr>
          <w:rFonts w:ascii="Verdana" w:hAnsi="Verdana"/>
          <w:color w:val="000000" w:themeColor="text1"/>
          <w:sz w:val="20"/>
          <w:szCs w:val="20"/>
        </w:rPr>
        <w:t xml:space="preserve"> la necessità di </w:t>
      </w:r>
      <w:r w:rsidR="00AD2B05">
        <w:rPr>
          <w:rFonts w:ascii="Verdana" w:hAnsi="Verdana"/>
          <w:color w:val="000000" w:themeColor="text1"/>
          <w:sz w:val="20"/>
          <w:szCs w:val="20"/>
        </w:rPr>
        <w:t xml:space="preserve">una </w:t>
      </w:r>
      <w:r w:rsidR="00AD2B05" w:rsidRPr="00F10358">
        <w:rPr>
          <w:rFonts w:ascii="Verdana" w:hAnsi="Verdana"/>
          <w:color w:val="000000" w:themeColor="text1"/>
          <w:sz w:val="20"/>
          <w:szCs w:val="20"/>
        </w:rPr>
        <w:t>impugna</w:t>
      </w:r>
      <w:r w:rsidR="00AD2B05">
        <w:rPr>
          <w:rFonts w:ascii="Verdana" w:hAnsi="Verdana"/>
          <w:color w:val="000000" w:themeColor="text1"/>
          <w:sz w:val="20"/>
          <w:szCs w:val="20"/>
        </w:rPr>
        <w:t xml:space="preserve">zione </w:t>
      </w:r>
      <w:r w:rsidRPr="00F10358">
        <w:rPr>
          <w:rFonts w:ascii="Verdana" w:hAnsi="Verdana"/>
          <w:color w:val="000000" w:themeColor="text1"/>
          <w:sz w:val="20"/>
          <w:szCs w:val="20"/>
        </w:rPr>
        <w:t xml:space="preserve">tempestiva, entro i termini di legge, </w:t>
      </w:r>
      <w:r w:rsidR="00AD2B05">
        <w:rPr>
          <w:rFonts w:ascii="Verdana" w:hAnsi="Verdana"/>
          <w:color w:val="000000" w:themeColor="text1"/>
          <w:sz w:val="20"/>
          <w:szCs w:val="20"/>
        </w:rPr>
        <w:t>del</w:t>
      </w:r>
      <w:r w:rsidRPr="00F10358">
        <w:rPr>
          <w:rFonts w:ascii="Verdana" w:hAnsi="Verdana"/>
          <w:color w:val="000000" w:themeColor="text1"/>
          <w:sz w:val="20"/>
          <w:szCs w:val="20"/>
        </w:rPr>
        <w:t>l’adesione al CISS</w:t>
      </w:r>
      <w:r w:rsidR="00AD2B05">
        <w:rPr>
          <w:rFonts w:ascii="Verdana" w:hAnsi="Verdana"/>
          <w:color w:val="000000" w:themeColor="text1"/>
          <w:sz w:val="20"/>
          <w:szCs w:val="20"/>
        </w:rPr>
        <w:t>; tempestività</w:t>
      </w:r>
      <w:r w:rsidRPr="00F10358">
        <w:rPr>
          <w:rFonts w:ascii="Verdana" w:hAnsi="Verdana"/>
          <w:color w:val="000000" w:themeColor="text1"/>
          <w:sz w:val="20"/>
          <w:szCs w:val="20"/>
        </w:rPr>
        <w:t xml:space="preserve"> che nel caso di specie era</w:t>
      </w:r>
      <w:r w:rsidR="00AD2B05">
        <w:rPr>
          <w:rFonts w:ascii="Verdana" w:hAnsi="Verdana"/>
          <w:color w:val="000000" w:themeColor="text1"/>
          <w:sz w:val="20"/>
          <w:szCs w:val="20"/>
        </w:rPr>
        <w:t>, tuttavia,</w:t>
      </w:r>
      <w:r w:rsidRPr="00F10358">
        <w:rPr>
          <w:rFonts w:ascii="Verdana" w:hAnsi="Verdana"/>
          <w:color w:val="000000" w:themeColor="text1"/>
          <w:sz w:val="20"/>
          <w:szCs w:val="20"/>
        </w:rPr>
        <w:t xml:space="preserve"> mancata, </w:t>
      </w:r>
      <w:r w:rsidR="00AD2B05">
        <w:rPr>
          <w:rFonts w:ascii="Verdana" w:hAnsi="Verdana"/>
          <w:color w:val="000000" w:themeColor="text1"/>
          <w:sz w:val="20"/>
          <w:szCs w:val="20"/>
        </w:rPr>
        <w:t xml:space="preserve">con conseguente reiezione del ricorso </w:t>
      </w:r>
      <w:r w:rsidR="00AF085C">
        <w:rPr>
          <w:rFonts w:ascii="Verdana" w:hAnsi="Verdana"/>
          <w:color w:val="000000" w:themeColor="text1"/>
          <w:sz w:val="20"/>
          <w:szCs w:val="20"/>
        </w:rPr>
        <w:t xml:space="preserve">di primo grado </w:t>
      </w:r>
      <w:r w:rsidR="00AD2B05">
        <w:rPr>
          <w:rFonts w:ascii="Verdana" w:hAnsi="Verdana"/>
          <w:color w:val="000000" w:themeColor="text1"/>
          <w:sz w:val="20"/>
          <w:szCs w:val="20"/>
        </w:rPr>
        <w:t xml:space="preserve">per </w:t>
      </w:r>
      <w:r w:rsidR="00AD2B05" w:rsidRPr="00F10358">
        <w:rPr>
          <w:rFonts w:ascii="Verdana" w:hAnsi="Verdana"/>
          <w:color w:val="000000" w:themeColor="text1"/>
          <w:sz w:val="20"/>
          <w:szCs w:val="20"/>
        </w:rPr>
        <w:t>tardiv</w:t>
      </w:r>
      <w:r w:rsidR="00AD2B05">
        <w:rPr>
          <w:rFonts w:ascii="Verdana" w:hAnsi="Verdana"/>
          <w:color w:val="000000" w:themeColor="text1"/>
          <w:sz w:val="20"/>
          <w:szCs w:val="20"/>
        </w:rPr>
        <w:t>ità dello stesso</w:t>
      </w:r>
      <w:r w:rsidRPr="00F10358">
        <w:rPr>
          <w:rFonts w:ascii="Verdana" w:hAnsi="Verdana"/>
          <w:color w:val="000000" w:themeColor="text1"/>
          <w:sz w:val="20"/>
          <w:szCs w:val="20"/>
        </w:rPr>
        <w:t>.</w:t>
      </w:r>
    </w:p>
    <w:p w:rsidR="003F31B5" w:rsidRPr="00F10358" w:rsidRDefault="003F31B5" w:rsidP="003F31B5">
      <w:pPr>
        <w:shd w:val="clear" w:color="auto" w:fill="FEFFFF"/>
        <w:spacing w:line="360" w:lineRule="auto"/>
        <w:ind w:firstLine="354"/>
        <w:jc w:val="both"/>
        <w:rPr>
          <w:rFonts w:ascii="Verdana" w:hAnsi="Verdana"/>
          <w:color w:val="000000" w:themeColor="text1"/>
          <w:sz w:val="20"/>
          <w:szCs w:val="20"/>
        </w:rPr>
      </w:pPr>
      <w:r w:rsidRPr="00F10358">
        <w:rPr>
          <w:rFonts w:ascii="Verdana" w:hAnsi="Verdana"/>
          <w:color w:val="000000" w:themeColor="text1"/>
          <w:sz w:val="20"/>
          <w:szCs w:val="20"/>
        </w:rPr>
        <w:t xml:space="preserve">Successivamente, il CISS è </w:t>
      </w:r>
      <w:r w:rsidR="00805E71">
        <w:rPr>
          <w:rFonts w:ascii="Verdana" w:hAnsi="Verdana"/>
          <w:color w:val="000000" w:themeColor="text1"/>
          <w:sz w:val="20"/>
          <w:szCs w:val="20"/>
        </w:rPr>
        <w:t xml:space="preserve">stato coinvolto </w:t>
      </w:r>
      <w:r w:rsidRPr="00F10358">
        <w:rPr>
          <w:rFonts w:ascii="Verdana" w:hAnsi="Verdana"/>
          <w:color w:val="000000" w:themeColor="text1"/>
          <w:sz w:val="20"/>
          <w:szCs w:val="20"/>
        </w:rPr>
        <w:t>in una serie di controversie</w:t>
      </w:r>
      <w:r w:rsidR="00805E71">
        <w:rPr>
          <w:rFonts w:ascii="Verdana" w:hAnsi="Verdana"/>
          <w:color w:val="000000" w:themeColor="text1"/>
          <w:sz w:val="20"/>
          <w:szCs w:val="20"/>
        </w:rPr>
        <w:t xml:space="preserve">, tutt’ora </w:t>
      </w:r>
      <w:r w:rsidR="00805E71" w:rsidRPr="00F10358">
        <w:rPr>
          <w:rFonts w:ascii="Verdana" w:hAnsi="Verdana"/>
          <w:color w:val="000000" w:themeColor="text1"/>
          <w:sz w:val="20"/>
          <w:szCs w:val="20"/>
        </w:rPr>
        <w:t>in</w:t>
      </w:r>
      <w:r w:rsidR="00805E71">
        <w:rPr>
          <w:rFonts w:ascii="Verdana" w:hAnsi="Verdana"/>
          <w:color w:val="000000" w:themeColor="text1"/>
          <w:sz w:val="20"/>
          <w:szCs w:val="20"/>
        </w:rPr>
        <w:t xml:space="preserve"> </w:t>
      </w:r>
      <w:r w:rsidR="00805E71" w:rsidRPr="00F10358">
        <w:rPr>
          <w:rFonts w:ascii="Verdana" w:hAnsi="Verdana"/>
          <w:color w:val="000000" w:themeColor="text1"/>
          <w:sz w:val="20"/>
          <w:szCs w:val="20"/>
        </w:rPr>
        <w:t>corso</w:t>
      </w:r>
      <w:r w:rsidR="00805E71">
        <w:rPr>
          <w:rFonts w:ascii="Verdana" w:hAnsi="Verdana"/>
          <w:color w:val="000000" w:themeColor="text1"/>
          <w:sz w:val="20"/>
          <w:szCs w:val="20"/>
        </w:rPr>
        <w:t>,</w:t>
      </w:r>
      <w:r w:rsidRPr="00F10358">
        <w:rPr>
          <w:rFonts w:ascii="Verdana" w:hAnsi="Verdana"/>
          <w:color w:val="000000" w:themeColor="text1"/>
          <w:sz w:val="20"/>
          <w:szCs w:val="20"/>
        </w:rPr>
        <w:t xml:space="preserve"> con la Regione Campania, in merito al rifiuto di rilasciare l’autorizzazione o in relazione alla dichiarazione di decadenza da alcune prelazioni esercitate da alcuni comuni.</w:t>
      </w:r>
    </w:p>
    <w:p w:rsidR="003F31B5" w:rsidRPr="00F10358" w:rsidRDefault="00583644" w:rsidP="003F31B5">
      <w:pPr>
        <w:shd w:val="clear" w:color="auto" w:fill="FEFFFF"/>
        <w:spacing w:line="360" w:lineRule="auto"/>
        <w:ind w:firstLine="354"/>
        <w:jc w:val="both"/>
        <w:rPr>
          <w:rFonts w:ascii="Verdana" w:hAnsi="Verdana"/>
          <w:bCs/>
          <w:color w:val="000000" w:themeColor="text1"/>
          <w:sz w:val="20"/>
          <w:szCs w:val="20"/>
        </w:rPr>
      </w:pPr>
      <w:r w:rsidRPr="00F10358">
        <w:rPr>
          <w:rFonts w:ascii="Verdana" w:hAnsi="Verdana"/>
          <w:b/>
          <w:color w:val="000000" w:themeColor="text1"/>
          <w:sz w:val="20"/>
          <w:szCs w:val="20"/>
        </w:rPr>
        <w:t>6.3.</w:t>
      </w:r>
      <w:r w:rsidRPr="00F10358">
        <w:rPr>
          <w:rFonts w:ascii="Verdana" w:hAnsi="Verdana"/>
          <w:color w:val="000000" w:themeColor="text1"/>
          <w:sz w:val="20"/>
          <w:szCs w:val="20"/>
        </w:rPr>
        <w:t xml:space="preserve"> </w:t>
      </w:r>
      <w:r w:rsidR="003F31B5" w:rsidRPr="00F10358">
        <w:rPr>
          <w:rFonts w:ascii="Verdana" w:hAnsi="Verdana"/>
          <w:color w:val="000000" w:themeColor="text1"/>
          <w:sz w:val="20"/>
          <w:szCs w:val="20"/>
        </w:rPr>
        <w:t xml:space="preserve">Con riguardo al primo ordine di controversie, si segnala la vicenda del Comune di Ottaviano. Ci si riferisce in particolare </w:t>
      </w:r>
      <w:r w:rsidR="003F31B5" w:rsidRPr="00F10358">
        <w:rPr>
          <w:rStyle w:val="Numeropagina"/>
          <w:rFonts w:ascii="Verdana" w:hAnsi="Verdana"/>
          <w:color w:val="000000" w:themeColor="text1"/>
          <w:sz w:val="20"/>
          <w:szCs w:val="20"/>
        </w:rPr>
        <w:t xml:space="preserve">al </w:t>
      </w:r>
      <w:r w:rsidR="003F31B5" w:rsidRPr="00F10358">
        <w:rPr>
          <w:rFonts w:ascii="Verdana" w:hAnsi="Verdana"/>
          <w:bCs/>
          <w:color w:val="000000" w:themeColor="text1"/>
          <w:sz w:val="20"/>
          <w:szCs w:val="20"/>
        </w:rPr>
        <w:t xml:space="preserve">decreto regionale </w:t>
      </w:r>
      <w:proofErr w:type="spellStart"/>
      <w:r w:rsidR="003F31B5" w:rsidRPr="00F10358">
        <w:rPr>
          <w:rFonts w:ascii="Verdana" w:hAnsi="Verdana"/>
          <w:bCs/>
          <w:color w:val="000000" w:themeColor="text1"/>
          <w:sz w:val="20"/>
          <w:szCs w:val="20"/>
        </w:rPr>
        <w:t>prot</w:t>
      </w:r>
      <w:proofErr w:type="spellEnd"/>
      <w:r w:rsidR="003F31B5" w:rsidRPr="00F10358">
        <w:rPr>
          <w:rFonts w:ascii="Verdana" w:hAnsi="Verdana"/>
          <w:bCs/>
          <w:color w:val="000000" w:themeColor="text1"/>
          <w:sz w:val="20"/>
          <w:szCs w:val="20"/>
        </w:rPr>
        <w:t>. n. 4110626 del 27/5/2011, con il quale la Regione ha denegato l’autorizzazione all'apertura della farmacia comunale presso il ridetto comune, a seguito di adesione al CISS e prelazione della sede farmaceutica.</w:t>
      </w:r>
    </w:p>
    <w:p w:rsidR="003F31B5" w:rsidRPr="00F10358" w:rsidRDefault="003F31B5" w:rsidP="003F31B5">
      <w:pPr>
        <w:shd w:val="clear" w:color="auto" w:fill="FEFFFF"/>
        <w:spacing w:line="360" w:lineRule="auto"/>
        <w:ind w:firstLine="354"/>
        <w:jc w:val="both"/>
        <w:rPr>
          <w:rStyle w:val="Numeropagina"/>
          <w:rFonts w:ascii="Verdana" w:hAnsi="Verdana"/>
          <w:color w:val="000000" w:themeColor="text1"/>
          <w:sz w:val="20"/>
          <w:szCs w:val="20"/>
        </w:rPr>
      </w:pPr>
      <w:r w:rsidRPr="00F10358">
        <w:rPr>
          <w:rStyle w:val="Numeropagina"/>
          <w:rFonts w:ascii="Verdana" w:hAnsi="Verdana"/>
          <w:color w:val="000000" w:themeColor="text1"/>
          <w:sz w:val="20"/>
          <w:szCs w:val="20"/>
        </w:rPr>
        <w:t xml:space="preserve">Segnatamente, il Comune avrebbe richiesto alla Regione Campania il rilascio dell'autorizzazione all’apertura, </w:t>
      </w:r>
      <w:r w:rsidRPr="00F10358">
        <w:rPr>
          <w:rFonts w:ascii="Verdana" w:hAnsi="Verdana"/>
          <w:color w:val="000000" w:themeColor="text1"/>
          <w:sz w:val="20"/>
          <w:szCs w:val="20"/>
        </w:rPr>
        <w:t>ma l’istanza (</w:t>
      </w:r>
      <w:proofErr w:type="spellStart"/>
      <w:r w:rsidRPr="00F10358">
        <w:rPr>
          <w:rFonts w:ascii="Verdana" w:hAnsi="Verdana"/>
          <w:color w:val="000000" w:themeColor="text1"/>
          <w:sz w:val="20"/>
          <w:szCs w:val="20"/>
        </w:rPr>
        <w:t>prot</w:t>
      </w:r>
      <w:proofErr w:type="spellEnd"/>
      <w:r w:rsidRPr="00F10358">
        <w:rPr>
          <w:rFonts w:ascii="Verdana" w:hAnsi="Verdana"/>
          <w:color w:val="000000" w:themeColor="text1"/>
          <w:sz w:val="20"/>
          <w:szCs w:val="20"/>
        </w:rPr>
        <w:t>. n. 5936/</w:t>
      </w:r>
      <w:proofErr w:type="gramStart"/>
      <w:r w:rsidRPr="00F10358">
        <w:rPr>
          <w:rFonts w:ascii="Verdana" w:hAnsi="Verdana"/>
          <w:color w:val="000000" w:themeColor="text1"/>
          <w:sz w:val="20"/>
          <w:szCs w:val="20"/>
        </w:rPr>
        <w:t>11  del</w:t>
      </w:r>
      <w:proofErr w:type="gramEnd"/>
      <w:r w:rsidRPr="00F10358">
        <w:rPr>
          <w:rFonts w:ascii="Verdana" w:hAnsi="Verdana"/>
          <w:color w:val="000000" w:themeColor="text1"/>
          <w:sz w:val="20"/>
          <w:szCs w:val="20"/>
        </w:rPr>
        <w:t xml:space="preserve"> 1 aprile 2011) </w:t>
      </w:r>
      <w:r w:rsidRPr="00F10358">
        <w:rPr>
          <w:rStyle w:val="Numeropagina"/>
          <w:rFonts w:ascii="Verdana" w:hAnsi="Verdana"/>
          <w:color w:val="000000" w:themeColor="text1"/>
          <w:sz w:val="20"/>
          <w:szCs w:val="20"/>
        </w:rPr>
        <w:t xml:space="preserve">è stata rigettata con il decreto </w:t>
      </w:r>
      <w:proofErr w:type="spellStart"/>
      <w:r w:rsidRPr="00F10358">
        <w:rPr>
          <w:rStyle w:val="Numeropagina"/>
          <w:rFonts w:ascii="Verdana" w:hAnsi="Verdana"/>
          <w:color w:val="000000" w:themeColor="text1"/>
          <w:sz w:val="20"/>
          <w:szCs w:val="20"/>
        </w:rPr>
        <w:t>prot</w:t>
      </w:r>
      <w:proofErr w:type="spellEnd"/>
      <w:r w:rsidRPr="00F10358">
        <w:rPr>
          <w:rStyle w:val="Numeropagina"/>
          <w:rFonts w:ascii="Verdana" w:hAnsi="Verdana"/>
          <w:color w:val="000000" w:themeColor="text1"/>
          <w:sz w:val="20"/>
          <w:szCs w:val="20"/>
        </w:rPr>
        <w:t xml:space="preserve">. n. 4110626 del 27/5/2011, ove si affermava che ad avviso del MEF (il quale ha fornito parere in risposta ad una richiesta della stessa Regione Campania) l’allora </w:t>
      </w:r>
      <w:r w:rsidRPr="00F10358">
        <w:rPr>
          <w:rStyle w:val="Numeropagina"/>
          <w:rFonts w:ascii="Verdana" w:hAnsi="Verdana"/>
          <w:color w:val="000000" w:themeColor="text1"/>
          <w:sz w:val="20"/>
          <w:szCs w:val="20"/>
        </w:rPr>
        <w:lastRenderedPageBreak/>
        <w:t xml:space="preserve">vigente regola generale dell’esternalizzazione con l’affidamento a terzi ai sensi dell’art. 23-bis del D.L. n. 112/2008 (con l’eccezionalità della gestione </w:t>
      </w:r>
      <w:r w:rsidRPr="00F10358">
        <w:rPr>
          <w:rStyle w:val="Numeropagina"/>
          <w:rFonts w:ascii="Verdana" w:hAnsi="Verdana"/>
          <w:i/>
          <w:color w:val="000000" w:themeColor="text1"/>
          <w:sz w:val="20"/>
          <w:szCs w:val="20"/>
        </w:rPr>
        <w:t xml:space="preserve">in </w:t>
      </w:r>
      <w:proofErr w:type="spellStart"/>
      <w:r w:rsidRPr="00F10358">
        <w:rPr>
          <w:rStyle w:val="Numeropagina"/>
          <w:rFonts w:ascii="Verdana" w:hAnsi="Verdana"/>
          <w:i/>
          <w:color w:val="000000" w:themeColor="text1"/>
          <w:sz w:val="20"/>
          <w:szCs w:val="20"/>
        </w:rPr>
        <w:t>house</w:t>
      </w:r>
      <w:proofErr w:type="spellEnd"/>
      <w:r w:rsidRPr="00F10358">
        <w:rPr>
          <w:rStyle w:val="Numeropagina"/>
          <w:rFonts w:ascii="Verdana" w:hAnsi="Verdana"/>
          <w:color w:val="000000" w:themeColor="text1"/>
          <w:sz w:val="20"/>
          <w:szCs w:val="20"/>
        </w:rPr>
        <w:t xml:space="preserve">) non può applicarsi al settore delle farmacie, essendo necessario, in caso di prelazione, che l’esercizio delle farmacie stesse si svolga direttamente in una delle forme previste dall’art. 9 della L. n. 475/1968 e </w:t>
      </w:r>
      <w:proofErr w:type="spellStart"/>
      <w:r w:rsidRPr="00F10358">
        <w:rPr>
          <w:rStyle w:val="Numeropagina"/>
          <w:rFonts w:ascii="Verdana" w:hAnsi="Verdana"/>
          <w:color w:val="000000" w:themeColor="text1"/>
          <w:sz w:val="20"/>
          <w:szCs w:val="20"/>
        </w:rPr>
        <w:t>ss.mm.ii</w:t>
      </w:r>
      <w:proofErr w:type="spellEnd"/>
      <w:r w:rsidRPr="00F10358">
        <w:rPr>
          <w:rStyle w:val="Numeropagina"/>
          <w:rFonts w:ascii="Verdana" w:hAnsi="Verdana"/>
          <w:color w:val="000000" w:themeColor="text1"/>
          <w:sz w:val="20"/>
          <w:szCs w:val="20"/>
        </w:rPr>
        <w:t>.</w:t>
      </w:r>
    </w:p>
    <w:p w:rsidR="003F31B5" w:rsidRPr="00F10358" w:rsidRDefault="003F31B5" w:rsidP="003F31B5">
      <w:pPr>
        <w:shd w:val="clear" w:color="auto" w:fill="FEFFFF"/>
        <w:spacing w:line="360" w:lineRule="auto"/>
        <w:ind w:firstLine="354"/>
        <w:jc w:val="both"/>
        <w:rPr>
          <w:rStyle w:val="Numeropagina"/>
          <w:rFonts w:ascii="Verdana" w:eastAsia="Verdana" w:hAnsi="Verdana" w:cs="Verdana"/>
          <w:color w:val="000000" w:themeColor="text1"/>
          <w:sz w:val="20"/>
          <w:szCs w:val="20"/>
        </w:rPr>
      </w:pPr>
      <w:r w:rsidRPr="00F10358">
        <w:rPr>
          <w:rFonts w:ascii="Verdana" w:hAnsi="Verdana"/>
          <w:bCs/>
          <w:color w:val="000000" w:themeColor="text1"/>
          <w:sz w:val="20"/>
          <w:szCs w:val="20"/>
        </w:rPr>
        <w:t xml:space="preserve">La Regione riteneva quindi che la gestione della farmacia comunale non potesse essere rimessa ad </w:t>
      </w:r>
      <w:r w:rsidR="003B4079">
        <w:rPr>
          <w:rFonts w:ascii="Verdana" w:hAnsi="Verdana"/>
          <w:bCs/>
          <w:color w:val="000000" w:themeColor="text1"/>
          <w:sz w:val="20"/>
          <w:szCs w:val="20"/>
        </w:rPr>
        <w:t>INCOFARMA</w:t>
      </w:r>
      <w:r w:rsidRPr="00F10358">
        <w:rPr>
          <w:rFonts w:ascii="Verdana" w:hAnsi="Verdana"/>
          <w:bCs/>
          <w:color w:val="000000" w:themeColor="text1"/>
          <w:sz w:val="20"/>
          <w:szCs w:val="20"/>
        </w:rPr>
        <w:t>, a mezzo del CISS, in quanto non conforme all’art. 9 della Legge n. 475/1968 (c.d. Legge Mariotti sull’esercizio del servizio di assistenza farmaceutica)</w:t>
      </w:r>
      <w:r w:rsidRPr="00F10358">
        <w:rPr>
          <w:rStyle w:val="Numeropagina"/>
          <w:rFonts w:ascii="Verdana" w:eastAsia="Verdana" w:hAnsi="Verdana" w:cs="Verdana"/>
          <w:color w:val="000000" w:themeColor="text1"/>
          <w:sz w:val="20"/>
          <w:szCs w:val="20"/>
        </w:rPr>
        <w:t>.</w:t>
      </w:r>
    </w:p>
    <w:p w:rsidR="003F31B5" w:rsidRPr="00F10358" w:rsidRDefault="003F31B5" w:rsidP="003F31B5">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bCs/>
          <w:color w:val="000000" w:themeColor="text1"/>
          <w:sz w:val="20"/>
          <w:szCs w:val="20"/>
        </w:rPr>
        <w:t xml:space="preserve">La ricorrente </w:t>
      </w:r>
      <w:r w:rsidR="003B4079">
        <w:rPr>
          <w:rFonts w:ascii="Verdana" w:hAnsi="Verdana"/>
          <w:bCs/>
          <w:color w:val="000000" w:themeColor="text1"/>
          <w:sz w:val="20"/>
          <w:szCs w:val="20"/>
        </w:rPr>
        <w:t>INCOFARMA</w:t>
      </w:r>
      <w:r w:rsidRPr="00F10358">
        <w:rPr>
          <w:rFonts w:ascii="Verdana" w:hAnsi="Verdana"/>
          <w:bCs/>
          <w:color w:val="000000" w:themeColor="text1"/>
          <w:sz w:val="20"/>
          <w:szCs w:val="20"/>
        </w:rPr>
        <w:t>, per contro, si opponeva affermando che la Regione era incorsa in errore visto che la modalità di gestione scelta per la farmacia comunale di Ottaviano era proprio una di quelle previste dall’art.9 della L. n. 475/1968 (vale a dire gestione a mezzo consorzio)</w:t>
      </w:r>
      <w:r w:rsidRPr="00F10358">
        <w:rPr>
          <w:rFonts w:ascii="Verdana" w:eastAsia="Verdana" w:hAnsi="Verdana" w:cs="Verdana"/>
          <w:color w:val="000000" w:themeColor="text1"/>
          <w:sz w:val="20"/>
          <w:szCs w:val="20"/>
        </w:rPr>
        <w:t>.</w:t>
      </w:r>
    </w:p>
    <w:p w:rsidR="003F31B5" w:rsidRPr="00F10358" w:rsidRDefault="003F31B5" w:rsidP="003F31B5">
      <w:pPr>
        <w:shd w:val="clear" w:color="auto" w:fill="FEFFFF"/>
        <w:spacing w:line="360" w:lineRule="auto"/>
        <w:ind w:firstLine="354"/>
        <w:jc w:val="both"/>
        <w:rPr>
          <w:rFonts w:ascii="Verdana" w:hAnsi="Verdana"/>
          <w:bCs/>
          <w:color w:val="000000" w:themeColor="text1"/>
          <w:sz w:val="20"/>
          <w:szCs w:val="20"/>
        </w:rPr>
      </w:pPr>
      <w:r w:rsidRPr="00F10358">
        <w:rPr>
          <w:rFonts w:ascii="Verdana" w:hAnsi="Verdana"/>
          <w:bCs/>
          <w:color w:val="000000" w:themeColor="text1"/>
          <w:sz w:val="20"/>
          <w:szCs w:val="20"/>
        </w:rPr>
        <w:t>Il TAR accoglieva i ricorsi (</w:t>
      </w:r>
      <w:r w:rsidRPr="00F10358">
        <w:rPr>
          <w:rStyle w:val="Numeropagina"/>
          <w:rFonts w:ascii="Verdana" w:hAnsi="Verdana"/>
          <w:color w:val="000000" w:themeColor="text1"/>
          <w:sz w:val="20"/>
          <w:szCs w:val="20"/>
        </w:rPr>
        <w:t xml:space="preserve">TAR Campania n. 2894/2012 e su analogo decreto regionale per lo stesso comune, con la sentenza n. 3070/2012, come evidenziato da </w:t>
      </w:r>
      <w:r w:rsidRPr="00F10358">
        <w:rPr>
          <w:rFonts w:ascii="Verdana" w:hAnsi="Verdana"/>
          <w:bCs/>
          <w:color w:val="000000" w:themeColor="text1"/>
          <w:sz w:val="20"/>
          <w:szCs w:val="20"/>
        </w:rPr>
        <w:t xml:space="preserve">nota CISS </w:t>
      </w:r>
      <w:proofErr w:type="spellStart"/>
      <w:r w:rsidRPr="00F10358">
        <w:rPr>
          <w:rFonts w:ascii="Verdana" w:hAnsi="Verdana"/>
          <w:bCs/>
          <w:color w:val="000000" w:themeColor="text1"/>
          <w:sz w:val="20"/>
          <w:szCs w:val="20"/>
        </w:rPr>
        <w:t>prot</w:t>
      </w:r>
      <w:proofErr w:type="spellEnd"/>
      <w:r w:rsidRPr="00F10358">
        <w:rPr>
          <w:rFonts w:ascii="Verdana" w:hAnsi="Verdana"/>
          <w:bCs/>
          <w:color w:val="000000" w:themeColor="text1"/>
          <w:sz w:val="20"/>
          <w:szCs w:val="20"/>
        </w:rPr>
        <w:t>. 2329 del 12 novembre 2015</w:t>
      </w:r>
      <w:r w:rsidRPr="00F10358">
        <w:rPr>
          <w:rStyle w:val="Numeropagina"/>
          <w:rFonts w:ascii="Verdana" w:hAnsi="Verdana"/>
          <w:color w:val="000000" w:themeColor="text1"/>
          <w:sz w:val="20"/>
          <w:szCs w:val="20"/>
        </w:rPr>
        <w:t xml:space="preserve">), </w:t>
      </w:r>
      <w:r w:rsidRPr="00F10358">
        <w:rPr>
          <w:rFonts w:ascii="Verdana" w:hAnsi="Verdana"/>
          <w:bCs/>
          <w:color w:val="000000" w:themeColor="text1"/>
          <w:sz w:val="20"/>
          <w:szCs w:val="20"/>
        </w:rPr>
        <w:t xml:space="preserve">ritenendo fondato il motivo e soggiungendo che la possibilità di costituire società partecipate senza vincolo di partecipazione </w:t>
      </w:r>
      <w:r w:rsidR="009A7EFF">
        <w:rPr>
          <w:rFonts w:ascii="Verdana" w:hAnsi="Verdana"/>
          <w:bCs/>
          <w:color w:val="000000" w:themeColor="text1"/>
          <w:sz w:val="20"/>
          <w:szCs w:val="20"/>
        </w:rPr>
        <w:t xml:space="preserve">pubblica </w:t>
      </w:r>
      <w:r w:rsidRPr="00F10358">
        <w:rPr>
          <w:rFonts w:ascii="Verdana" w:hAnsi="Verdana"/>
          <w:bCs/>
          <w:color w:val="000000" w:themeColor="text1"/>
          <w:sz w:val="20"/>
          <w:szCs w:val="20"/>
        </w:rPr>
        <w:t>maggioritaria sarebbe consentito dal vigente art. 116 TUEL, che peraltro</w:t>
      </w:r>
      <w:r w:rsidR="009A7EFF">
        <w:rPr>
          <w:rFonts w:ascii="Verdana" w:hAnsi="Verdana"/>
          <w:bCs/>
          <w:color w:val="000000" w:themeColor="text1"/>
          <w:sz w:val="20"/>
          <w:szCs w:val="20"/>
        </w:rPr>
        <w:t xml:space="preserve"> </w:t>
      </w:r>
      <w:r w:rsidR="005764BB">
        <w:rPr>
          <w:rFonts w:ascii="Verdana" w:hAnsi="Verdana"/>
          <w:bCs/>
          <w:color w:val="000000" w:themeColor="text1"/>
          <w:sz w:val="20"/>
          <w:szCs w:val="20"/>
        </w:rPr>
        <w:t>–</w:t>
      </w:r>
      <w:r w:rsidR="009A7EFF">
        <w:rPr>
          <w:rFonts w:ascii="Verdana" w:hAnsi="Verdana"/>
          <w:bCs/>
          <w:color w:val="000000" w:themeColor="text1"/>
          <w:sz w:val="20"/>
          <w:szCs w:val="20"/>
        </w:rPr>
        <w:t xml:space="preserve"> si rileva in questa sede </w:t>
      </w:r>
      <w:r w:rsidR="005764BB">
        <w:rPr>
          <w:rFonts w:ascii="Verdana" w:hAnsi="Verdana"/>
          <w:bCs/>
          <w:color w:val="000000" w:themeColor="text1"/>
          <w:sz w:val="20"/>
          <w:szCs w:val="20"/>
        </w:rPr>
        <w:t>–</w:t>
      </w:r>
      <w:r w:rsidRPr="00F10358">
        <w:rPr>
          <w:rFonts w:ascii="Verdana" w:hAnsi="Verdana"/>
          <w:bCs/>
          <w:color w:val="000000" w:themeColor="text1"/>
          <w:sz w:val="20"/>
          <w:szCs w:val="20"/>
        </w:rPr>
        <w:t xml:space="preserve"> riguarda i servizi pubblici privi di rilevanza economica. Sui due provvedimenti giurisdizionali, </w:t>
      </w:r>
      <w:r w:rsidR="009A7EFF">
        <w:rPr>
          <w:rFonts w:ascii="Verdana" w:hAnsi="Verdana"/>
          <w:bCs/>
          <w:color w:val="000000" w:themeColor="text1"/>
          <w:sz w:val="20"/>
          <w:szCs w:val="20"/>
        </w:rPr>
        <w:t>nel frattempo</w:t>
      </w:r>
      <w:r w:rsidRPr="00F10358">
        <w:rPr>
          <w:rFonts w:ascii="Verdana" w:hAnsi="Verdana"/>
          <w:bCs/>
          <w:color w:val="000000" w:themeColor="text1"/>
          <w:sz w:val="20"/>
          <w:szCs w:val="20"/>
        </w:rPr>
        <w:t>, è stato interposto appello, ad oggi ancora pendent</w:t>
      </w:r>
      <w:r w:rsidR="009A7EFF">
        <w:rPr>
          <w:rFonts w:ascii="Verdana" w:hAnsi="Verdana"/>
          <w:bCs/>
          <w:color w:val="000000" w:themeColor="text1"/>
          <w:sz w:val="20"/>
          <w:szCs w:val="20"/>
        </w:rPr>
        <w:t>e</w:t>
      </w:r>
      <w:r w:rsidRPr="00F10358">
        <w:rPr>
          <w:rFonts w:ascii="Verdana" w:hAnsi="Verdana"/>
          <w:bCs/>
          <w:color w:val="000000" w:themeColor="text1"/>
          <w:sz w:val="20"/>
          <w:szCs w:val="20"/>
        </w:rPr>
        <w:t>.</w:t>
      </w:r>
    </w:p>
    <w:p w:rsidR="003F31B5" w:rsidRPr="00F10358" w:rsidRDefault="00583644" w:rsidP="003F31B5">
      <w:pPr>
        <w:shd w:val="clear" w:color="auto" w:fill="FEFFFF"/>
        <w:spacing w:line="360" w:lineRule="auto"/>
        <w:ind w:firstLine="354"/>
        <w:jc w:val="both"/>
        <w:rPr>
          <w:rFonts w:ascii="Verdana" w:hAnsi="Verdana"/>
          <w:bCs/>
          <w:color w:val="000000" w:themeColor="text1"/>
          <w:sz w:val="20"/>
          <w:szCs w:val="20"/>
        </w:rPr>
      </w:pPr>
      <w:r w:rsidRPr="00F10358">
        <w:rPr>
          <w:rFonts w:ascii="Verdana" w:hAnsi="Verdana"/>
          <w:b/>
          <w:bCs/>
          <w:color w:val="000000" w:themeColor="text1"/>
          <w:sz w:val="20"/>
          <w:szCs w:val="20"/>
        </w:rPr>
        <w:t>6.4.</w:t>
      </w:r>
      <w:r w:rsidRPr="00F10358">
        <w:rPr>
          <w:rFonts w:ascii="Verdana" w:hAnsi="Verdana"/>
          <w:bCs/>
          <w:color w:val="000000" w:themeColor="text1"/>
          <w:sz w:val="20"/>
          <w:szCs w:val="20"/>
        </w:rPr>
        <w:t xml:space="preserve"> </w:t>
      </w:r>
      <w:r w:rsidR="003F31B5" w:rsidRPr="00F10358">
        <w:rPr>
          <w:rFonts w:ascii="Verdana" w:hAnsi="Verdana"/>
          <w:bCs/>
          <w:color w:val="000000" w:themeColor="text1"/>
          <w:sz w:val="20"/>
          <w:szCs w:val="20"/>
        </w:rPr>
        <w:t xml:space="preserve">Con riguardo al secondo ordine di controversie </w:t>
      </w:r>
      <w:r w:rsidR="009A7EFF">
        <w:rPr>
          <w:rFonts w:ascii="Verdana" w:hAnsi="Verdana"/>
          <w:bCs/>
          <w:color w:val="000000" w:themeColor="text1"/>
          <w:sz w:val="20"/>
          <w:szCs w:val="20"/>
        </w:rPr>
        <w:t>s</w:t>
      </w:r>
      <w:r w:rsidR="009A7EFF" w:rsidRPr="00F10358">
        <w:rPr>
          <w:rFonts w:ascii="Verdana" w:hAnsi="Verdana"/>
          <w:bCs/>
          <w:color w:val="000000" w:themeColor="text1"/>
          <w:sz w:val="20"/>
          <w:szCs w:val="20"/>
        </w:rPr>
        <w:t xml:space="preserve">i </w:t>
      </w:r>
      <w:r w:rsidR="003F31B5" w:rsidRPr="00F10358">
        <w:rPr>
          <w:rFonts w:ascii="Verdana" w:hAnsi="Verdana"/>
          <w:bCs/>
          <w:color w:val="000000" w:themeColor="text1"/>
          <w:sz w:val="20"/>
          <w:szCs w:val="20"/>
        </w:rPr>
        <w:t>segnala la vicenda del comune di Calvizzano. Il Consorzio ha fatto ricorso al Tar per l’annullamento della delibera di consiglio comunale avente a oggetto il recesso dal CISS nonché della delibera di consiglio comunale avente a oggetto la localizzazione della terza sede farmaceutica comunale, del bando di gara e del capitolato speciale finalizzati alla gestione della farmacia medesima. Ancora più a monte, è stato proposto ricorso contro il provvedimento di decadenza emesso dalla Regione Campania in danno delle parti in merito alla prelazione esercitata per la sede farmaceutica. Con sentenza TAR Campania, Napoli, sez. II, n. 3686/2016, il giudice delle prime cure, da un lato, ha accertato la legittimità del provvedimento regionale di decadenza per mancata trasmissione degli atti propedeutici all’apertura della farmacia da parte del comune e</w:t>
      </w:r>
      <w:r w:rsidR="009A7EFF" w:rsidRPr="00F10358">
        <w:rPr>
          <w:rFonts w:ascii="Verdana" w:hAnsi="Verdana"/>
          <w:bCs/>
          <w:color w:val="000000" w:themeColor="text1"/>
          <w:sz w:val="20"/>
          <w:szCs w:val="20"/>
        </w:rPr>
        <w:t>,</w:t>
      </w:r>
      <w:r w:rsidR="003F31B5" w:rsidRPr="00F10358">
        <w:rPr>
          <w:rFonts w:ascii="Verdana" w:hAnsi="Verdana"/>
          <w:bCs/>
          <w:color w:val="000000" w:themeColor="text1"/>
          <w:sz w:val="20"/>
          <w:szCs w:val="20"/>
        </w:rPr>
        <w:t xml:space="preserve"> ad esclusivi fini risarcitori, ha dichiarato l’illegittimità della delibera di recesso (e quindi della delibera comunale di localizzazione e bando per l’affidamento a terzi della licenza </w:t>
      </w:r>
      <w:proofErr w:type="spellStart"/>
      <w:r w:rsidR="003F31B5" w:rsidRPr="00F10358">
        <w:rPr>
          <w:rFonts w:ascii="Verdana" w:hAnsi="Verdana"/>
          <w:bCs/>
          <w:color w:val="000000" w:themeColor="text1"/>
          <w:sz w:val="20"/>
          <w:szCs w:val="20"/>
        </w:rPr>
        <w:t>prelazionata</w:t>
      </w:r>
      <w:proofErr w:type="spellEnd"/>
      <w:r w:rsidR="003F31B5" w:rsidRPr="00F10358">
        <w:rPr>
          <w:rFonts w:ascii="Verdana" w:hAnsi="Verdana"/>
          <w:bCs/>
          <w:color w:val="000000" w:themeColor="text1"/>
          <w:sz w:val="20"/>
          <w:szCs w:val="20"/>
        </w:rPr>
        <w:t xml:space="preserve">). </w:t>
      </w:r>
    </w:p>
    <w:p w:rsidR="00D62720" w:rsidRPr="00F10358" w:rsidRDefault="003F31B5" w:rsidP="003F31B5">
      <w:pPr>
        <w:shd w:val="clear" w:color="auto" w:fill="FEFFFF"/>
        <w:spacing w:line="360" w:lineRule="auto"/>
        <w:ind w:firstLine="354"/>
        <w:jc w:val="both"/>
        <w:rPr>
          <w:rFonts w:ascii="Verdana" w:hAnsi="Verdana"/>
          <w:bCs/>
          <w:color w:val="000000" w:themeColor="text1"/>
          <w:sz w:val="20"/>
          <w:szCs w:val="20"/>
        </w:rPr>
      </w:pPr>
      <w:r w:rsidRPr="00F10358">
        <w:rPr>
          <w:rFonts w:ascii="Verdana" w:hAnsi="Verdana"/>
          <w:bCs/>
          <w:color w:val="000000" w:themeColor="text1"/>
          <w:sz w:val="20"/>
          <w:szCs w:val="20"/>
        </w:rPr>
        <w:t>Il TAR ha</w:t>
      </w:r>
      <w:r w:rsidR="009A7EFF">
        <w:rPr>
          <w:rFonts w:ascii="Verdana" w:hAnsi="Verdana"/>
          <w:bCs/>
          <w:color w:val="000000" w:themeColor="text1"/>
          <w:sz w:val="20"/>
          <w:szCs w:val="20"/>
        </w:rPr>
        <w:t>,</w:t>
      </w:r>
      <w:r w:rsidRPr="00F10358">
        <w:rPr>
          <w:rFonts w:ascii="Verdana" w:hAnsi="Verdana"/>
          <w:bCs/>
          <w:color w:val="000000" w:themeColor="text1"/>
          <w:sz w:val="20"/>
          <w:szCs w:val="20"/>
        </w:rPr>
        <w:t xml:space="preserve"> infatti</w:t>
      </w:r>
      <w:r w:rsidR="009A7EFF">
        <w:rPr>
          <w:rFonts w:ascii="Verdana" w:hAnsi="Verdana"/>
          <w:bCs/>
          <w:color w:val="000000" w:themeColor="text1"/>
          <w:sz w:val="20"/>
          <w:szCs w:val="20"/>
        </w:rPr>
        <w:t>,</w:t>
      </w:r>
      <w:r w:rsidRPr="00F10358">
        <w:rPr>
          <w:rFonts w:ascii="Verdana" w:hAnsi="Verdana"/>
          <w:bCs/>
          <w:color w:val="000000" w:themeColor="text1"/>
          <w:sz w:val="20"/>
          <w:szCs w:val="20"/>
        </w:rPr>
        <w:t xml:space="preserve"> evidenziato che non vi è stato rispetto della procedura di recesso contemplata nello Statuto, in particolare non vi è stata prova della notifica della delibera comunale di recesso, richiesta dall’art. 4 dello Statuto del CISS, il quale prevede che ciascun comune recedente «</w:t>
      </w:r>
      <w:r w:rsidRPr="00F10358">
        <w:rPr>
          <w:rFonts w:ascii="Verdana" w:hAnsi="Verdana"/>
          <w:sz w:val="20"/>
          <w:szCs w:val="20"/>
        </w:rPr>
        <w:t xml:space="preserve"> [</w:t>
      </w:r>
      <w:r w:rsidRPr="00F10358">
        <w:rPr>
          <w:rFonts w:ascii="Verdana" w:hAnsi="Verdana"/>
          <w:bCs/>
          <w:color w:val="000000" w:themeColor="text1"/>
          <w:sz w:val="20"/>
          <w:szCs w:val="20"/>
        </w:rPr>
        <w:t xml:space="preserve">…] </w:t>
      </w:r>
      <w:r w:rsidRPr="00F10358">
        <w:rPr>
          <w:rFonts w:ascii="Verdana" w:hAnsi="Verdana"/>
          <w:bCs/>
          <w:i/>
          <w:color w:val="000000" w:themeColor="text1"/>
          <w:sz w:val="20"/>
          <w:szCs w:val="20"/>
        </w:rPr>
        <w:t>dovrà notificare nelle forme di legge al Presidente del Consorzio il recesso medesimo accompagnando la deliberazione del relativo Consiglio Comunale entro e non oltre il trenta di giugno di ogni anno</w:t>
      </w:r>
      <w:r w:rsidRPr="00F10358">
        <w:rPr>
          <w:rFonts w:ascii="Verdana" w:hAnsi="Verdana"/>
          <w:bCs/>
          <w:color w:val="000000" w:themeColor="text1"/>
          <w:sz w:val="20"/>
          <w:szCs w:val="20"/>
        </w:rPr>
        <w:t>» e che se non sussistono motivi ostativi al recesso accertati con deliberazione dell’assemblea dei consorziati, «</w:t>
      </w:r>
      <w:r w:rsidRPr="00F10358">
        <w:rPr>
          <w:rFonts w:ascii="Verdana" w:hAnsi="Verdana"/>
          <w:bCs/>
          <w:i/>
          <w:color w:val="000000" w:themeColor="text1"/>
          <w:sz w:val="20"/>
          <w:szCs w:val="20"/>
        </w:rPr>
        <w:t>il recesso diviene operativo ed efficace dal 1° gennaio dell’anno successivo</w:t>
      </w:r>
      <w:r w:rsidRPr="00F10358">
        <w:rPr>
          <w:rFonts w:ascii="Verdana" w:hAnsi="Verdana"/>
          <w:bCs/>
          <w:color w:val="000000" w:themeColor="text1"/>
          <w:sz w:val="20"/>
          <w:szCs w:val="20"/>
        </w:rPr>
        <w:t xml:space="preserve">». Per l’effetto, il TAR ha accertato, sempre in funzione di un eventuale interesse risarcitorio, l’illegittimità della delibera comunale di localizzazione della </w:t>
      </w:r>
      <w:r w:rsidRPr="00F10358">
        <w:rPr>
          <w:rFonts w:ascii="Verdana" w:hAnsi="Verdana"/>
          <w:bCs/>
          <w:color w:val="000000" w:themeColor="text1"/>
          <w:sz w:val="20"/>
          <w:szCs w:val="20"/>
        </w:rPr>
        <w:lastRenderedPageBreak/>
        <w:t>farmacia e che si determinava per l’affidamento a terzi mediante concessione, con gara, della licenza medesima</w:t>
      </w:r>
      <w:r w:rsidR="00480154" w:rsidRPr="00F10358">
        <w:rPr>
          <w:rFonts w:ascii="Verdana" w:hAnsi="Verdana"/>
          <w:bCs/>
          <w:color w:val="000000" w:themeColor="text1"/>
          <w:sz w:val="20"/>
          <w:szCs w:val="20"/>
        </w:rPr>
        <w:t>.</w:t>
      </w:r>
    </w:p>
    <w:p w:rsidR="005227DF" w:rsidRPr="00F10358" w:rsidRDefault="005227DF" w:rsidP="003F31B5">
      <w:pPr>
        <w:shd w:val="clear" w:color="auto" w:fill="FEFFFF"/>
        <w:spacing w:line="360" w:lineRule="auto"/>
        <w:ind w:firstLine="354"/>
        <w:jc w:val="both"/>
        <w:rPr>
          <w:rFonts w:ascii="Verdana" w:hAnsi="Verdana"/>
          <w:bCs/>
          <w:color w:val="000000" w:themeColor="text1"/>
          <w:sz w:val="20"/>
          <w:szCs w:val="20"/>
        </w:rPr>
      </w:pPr>
      <w:r w:rsidRPr="00F10358">
        <w:rPr>
          <w:rFonts w:ascii="Verdana" w:hAnsi="Verdana"/>
          <w:bCs/>
          <w:color w:val="000000" w:themeColor="text1"/>
          <w:sz w:val="20"/>
          <w:szCs w:val="20"/>
        </w:rPr>
        <w:t>In adunanza è stato dichiarato che è pendente giudizio di appello.</w:t>
      </w:r>
    </w:p>
    <w:p w:rsidR="00264DCB" w:rsidRPr="00F10358" w:rsidRDefault="00C30BE0">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b/>
          <w:bCs/>
          <w:color w:val="000000" w:themeColor="text1"/>
          <w:sz w:val="20"/>
          <w:szCs w:val="20"/>
        </w:rPr>
        <w:t>7</w:t>
      </w:r>
      <w:r w:rsidR="000E7F3D" w:rsidRPr="00F10358">
        <w:rPr>
          <w:rFonts w:ascii="Verdana" w:hAnsi="Verdana"/>
          <w:color w:val="000000" w:themeColor="text1"/>
          <w:sz w:val="20"/>
          <w:szCs w:val="20"/>
        </w:rPr>
        <w:t xml:space="preserve">. </w:t>
      </w:r>
      <w:r w:rsidR="000E7F3D" w:rsidRPr="00F10358">
        <w:rPr>
          <w:rFonts w:ascii="Verdana" w:hAnsi="Verdana"/>
          <w:b/>
          <w:bCs/>
          <w:color w:val="000000" w:themeColor="text1"/>
          <w:sz w:val="20"/>
          <w:szCs w:val="20"/>
        </w:rPr>
        <w:t xml:space="preserve">I rapporti finanziari ed organizzativi tra Consorzio CISS – </w:t>
      </w:r>
      <w:r w:rsidR="003B4079">
        <w:rPr>
          <w:rFonts w:ascii="Verdana" w:hAnsi="Verdana"/>
          <w:b/>
          <w:bCs/>
          <w:color w:val="000000" w:themeColor="text1"/>
          <w:sz w:val="20"/>
          <w:szCs w:val="20"/>
        </w:rPr>
        <w:t>INCOFARMA</w:t>
      </w:r>
      <w:r w:rsidR="000E7F3D" w:rsidRPr="00F10358">
        <w:rPr>
          <w:rFonts w:ascii="Verdana" w:hAnsi="Verdana"/>
          <w:b/>
          <w:bCs/>
          <w:color w:val="000000" w:themeColor="text1"/>
          <w:sz w:val="20"/>
          <w:szCs w:val="20"/>
        </w:rPr>
        <w:t xml:space="preserve"> </w:t>
      </w:r>
      <w:proofErr w:type="spellStart"/>
      <w:r w:rsidR="00371432" w:rsidRPr="00F10358">
        <w:rPr>
          <w:rFonts w:ascii="Verdana" w:hAnsi="Verdana"/>
          <w:b/>
          <w:bCs/>
          <w:color w:val="000000" w:themeColor="text1"/>
          <w:sz w:val="20"/>
          <w:szCs w:val="20"/>
        </w:rPr>
        <w:t>S.</w:t>
      </w:r>
      <w:r w:rsidR="000E7F3D" w:rsidRPr="00F10358">
        <w:rPr>
          <w:rFonts w:ascii="Verdana" w:hAnsi="Verdana"/>
          <w:b/>
          <w:bCs/>
          <w:color w:val="000000" w:themeColor="text1"/>
          <w:sz w:val="20"/>
          <w:szCs w:val="20"/>
        </w:rPr>
        <w:t>p</w:t>
      </w:r>
      <w:r w:rsidR="00371432" w:rsidRPr="00F10358">
        <w:rPr>
          <w:rFonts w:ascii="Verdana" w:hAnsi="Verdana"/>
          <w:b/>
          <w:bCs/>
          <w:color w:val="000000" w:themeColor="text1"/>
          <w:sz w:val="20"/>
          <w:szCs w:val="20"/>
        </w:rPr>
        <w:t>.A</w:t>
      </w:r>
      <w:proofErr w:type="spellEnd"/>
      <w:r w:rsidR="000E7F3D" w:rsidRPr="00F10358">
        <w:rPr>
          <w:rFonts w:ascii="Verdana" w:hAnsi="Verdana"/>
          <w:b/>
          <w:bCs/>
          <w:color w:val="000000" w:themeColor="text1"/>
          <w:sz w:val="20"/>
          <w:szCs w:val="20"/>
        </w:rPr>
        <w:t xml:space="preserve"> (partecipata) e SOCIGESS </w:t>
      </w:r>
      <w:proofErr w:type="spellStart"/>
      <w:r w:rsidR="00371432" w:rsidRPr="00F10358">
        <w:rPr>
          <w:rFonts w:ascii="Verdana" w:hAnsi="Verdana"/>
          <w:b/>
          <w:bCs/>
          <w:color w:val="000000" w:themeColor="text1"/>
          <w:sz w:val="20"/>
          <w:szCs w:val="20"/>
        </w:rPr>
        <w:t>S.</w:t>
      </w:r>
      <w:r w:rsidR="000E7F3D" w:rsidRPr="00F10358">
        <w:rPr>
          <w:rFonts w:ascii="Verdana" w:hAnsi="Verdana"/>
          <w:b/>
          <w:bCs/>
          <w:color w:val="000000" w:themeColor="text1"/>
          <w:sz w:val="20"/>
          <w:szCs w:val="20"/>
        </w:rPr>
        <w:t>p</w:t>
      </w:r>
      <w:r w:rsidR="00371432" w:rsidRPr="00F10358">
        <w:rPr>
          <w:rFonts w:ascii="Verdana" w:hAnsi="Verdana"/>
          <w:b/>
          <w:bCs/>
          <w:color w:val="000000" w:themeColor="text1"/>
          <w:sz w:val="20"/>
          <w:szCs w:val="20"/>
        </w:rPr>
        <w:t>.A</w:t>
      </w:r>
      <w:proofErr w:type="spellEnd"/>
      <w:r w:rsidR="000E7F3D" w:rsidRPr="00F10358">
        <w:rPr>
          <w:rFonts w:ascii="Verdana" w:hAnsi="Verdana"/>
          <w:b/>
          <w:bCs/>
          <w:color w:val="000000" w:themeColor="text1"/>
          <w:sz w:val="20"/>
          <w:szCs w:val="20"/>
        </w:rPr>
        <w:t xml:space="preserve"> (socio privato)</w:t>
      </w:r>
      <w:r w:rsidR="000E7F3D" w:rsidRPr="00F10358">
        <w:rPr>
          <w:rFonts w:ascii="Verdana" w:hAnsi="Verdana"/>
          <w:color w:val="000000" w:themeColor="text1"/>
          <w:sz w:val="20"/>
          <w:szCs w:val="20"/>
        </w:rPr>
        <w:t xml:space="preserve">. Nonostante </w:t>
      </w:r>
      <w:r w:rsidR="00890FB8" w:rsidRPr="00F10358">
        <w:rPr>
          <w:rFonts w:ascii="Verdana" w:hAnsi="Verdana"/>
          <w:color w:val="000000" w:themeColor="text1"/>
          <w:sz w:val="20"/>
          <w:szCs w:val="20"/>
        </w:rPr>
        <w:t xml:space="preserve">il </w:t>
      </w:r>
      <w:r w:rsidR="000E7F3D" w:rsidRPr="00F10358">
        <w:rPr>
          <w:rFonts w:ascii="Verdana" w:hAnsi="Verdana"/>
          <w:color w:val="000000" w:themeColor="text1"/>
          <w:sz w:val="20"/>
          <w:szCs w:val="20"/>
        </w:rPr>
        <w:t xml:space="preserve">CISS si sia </w:t>
      </w:r>
      <w:r w:rsidR="00890FB8" w:rsidRPr="00F10358">
        <w:rPr>
          <w:rFonts w:ascii="Verdana" w:hAnsi="Verdana"/>
          <w:color w:val="000000" w:themeColor="text1"/>
          <w:sz w:val="20"/>
          <w:szCs w:val="20"/>
        </w:rPr>
        <w:t xml:space="preserve">accollato </w:t>
      </w:r>
      <w:r w:rsidR="000E7F3D" w:rsidRPr="00F10358">
        <w:rPr>
          <w:rFonts w:ascii="Verdana" w:hAnsi="Verdana"/>
          <w:color w:val="000000" w:themeColor="text1"/>
          <w:sz w:val="20"/>
          <w:szCs w:val="20"/>
        </w:rPr>
        <w:t>con la partecipazione ad una S</w:t>
      </w:r>
      <w:r w:rsidR="00371432" w:rsidRPr="00F10358">
        <w:rPr>
          <w:rFonts w:ascii="Verdana" w:hAnsi="Verdana"/>
          <w:color w:val="000000" w:themeColor="text1"/>
          <w:sz w:val="20"/>
          <w:szCs w:val="20"/>
        </w:rPr>
        <w:t>.p.</w:t>
      </w:r>
      <w:r w:rsidR="000E7F3D" w:rsidRPr="00F10358">
        <w:rPr>
          <w:rFonts w:ascii="Verdana" w:hAnsi="Verdana"/>
          <w:color w:val="000000" w:themeColor="text1"/>
          <w:sz w:val="20"/>
          <w:szCs w:val="20"/>
        </w:rPr>
        <w:t>A</w:t>
      </w:r>
      <w:r w:rsidR="00371432" w:rsidRPr="00F10358">
        <w:rPr>
          <w:rFonts w:ascii="Verdana" w:hAnsi="Verdana"/>
          <w:color w:val="000000" w:themeColor="text1"/>
          <w:sz w:val="20"/>
          <w:szCs w:val="20"/>
        </w:rPr>
        <w:t>.</w:t>
      </w:r>
      <w:r w:rsidR="000E7F3D" w:rsidRPr="00F10358">
        <w:rPr>
          <w:rFonts w:ascii="Verdana" w:hAnsi="Verdana"/>
          <w:color w:val="000000" w:themeColor="text1"/>
          <w:sz w:val="20"/>
          <w:szCs w:val="20"/>
        </w:rPr>
        <w:t xml:space="preserve"> il correlato rischio d’impresa, la convenzione contempla una serie di rapporti diretti tra soci</w:t>
      </w:r>
      <w:r w:rsidR="00890FB8" w:rsidRPr="00F10358">
        <w:rPr>
          <w:rFonts w:ascii="Verdana" w:hAnsi="Verdana"/>
          <w:color w:val="000000" w:themeColor="text1"/>
          <w:sz w:val="20"/>
          <w:szCs w:val="20"/>
        </w:rPr>
        <w:t xml:space="preserve"> (vale a dire tra </w:t>
      </w:r>
      <w:r w:rsidR="003B4079">
        <w:rPr>
          <w:rFonts w:ascii="Verdana" w:hAnsi="Verdana"/>
          <w:color w:val="000000" w:themeColor="text1"/>
          <w:sz w:val="20"/>
          <w:szCs w:val="20"/>
        </w:rPr>
        <w:t>SOCIGESS</w:t>
      </w:r>
      <w:r w:rsidR="00890FB8" w:rsidRPr="00F10358">
        <w:rPr>
          <w:rFonts w:ascii="Verdana" w:hAnsi="Verdana"/>
          <w:color w:val="000000" w:themeColor="text1"/>
          <w:sz w:val="20"/>
          <w:szCs w:val="20"/>
        </w:rPr>
        <w:t xml:space="preserve"> e lo stesso CISS)</w:t>
      </w:r>
      <w:r w:rsidR="000E7F3D" w:rsidRPr="00F10358">
        <w:rPr>
          <w:rFonts w:ascii="Verdana" w:hAnsi="Verdana"/>
          <w:color w:val="000000" w:themeColor="text1"/>
          <w:sz w:val="20"/>
          <w:szCs w:val="20"/>
        </w:rPr>
        <w:t>, non intermediati dagli organi corporativi della società</w:t>
      </w:r>
      <w:r w:rsidR="00890FB8" w:rsidRPr="00F10358">
        <w:rPr>
          <w:rFonts w:ascii="Verdana" w:hAnsi="Verdana"/>
          <w:color w:val="000000" w:themeColor="text1"/>
          <w:sz w:val="20"/>
          <w:szCs w:val="20"/>
        </w:rPr>
        <w:t xml:space="preserve"> mista </w:t>
      </w:r>
      <w:r w:rsidR="003B4079">
        <w:rPr>
          <w:rFonts w:ascii="Verdana" w:hAnsi="Verdana"/>
          <w:color w:val="000000" w:themeColor="text1"/>
          <w:sz w:val="20"/>
          <w:szCs w:val="20"/>
        </w:rPr>
        <w:t>INCOFARMA</w:t>
      </w:r>
      <w:r w:rsidR="000E7F3D" w:rsidRPr="00F10358">
        <w:rPr>
          <w:rFonts w:ascii="Verdana" w:hAnsi="Verdana"/>
          <w:color w:val="000000" w:themeColor="text1"/>
          <w:sz w:val="20"/>
          <w:szCs w:val="20"/>
        </w:rPr>
        <w:t xml:space="preserve">, sostanzialmente volti a sollevare il socio di minoranza da tale rischio, con una forfettizzazione del </w:t>
      </w:r>
      <w:r w:rsidR="000E7F3D" w:rsidRPr="004753CD">
        <w:rPr>
          <w:rFonts w:ascii="Verdana" w:hAnsi="Verdana"/>
          <w:i/>
          <w:color w:val="000000" w:themeColor="text1"/>
          <w:sz w:val="20"/>
          <w:szCs w:val="20"/>
        </w:rPr>
        <w:t xml:space="preserve">quantum </w:t>
      </w:r>
      <w:r w:rsidR="000E7F3D" w:rsidRPr="00F10358">
        <w:rPr>
          <w:rFonts w:ascii="Verdana" w:hAnsi="Verdana"/>
          <w:color w:val="000000" w:themeColor="text1"/>
          <w:sz w:val="20"/>
          <w:szCs w:val="20"/>
        </w:rPr>
        <w:t xml:space="preserve">dovuto in ragione della partecipazione. A tale scopo, i </w:t>
      </w:r>
      <w:r w:rsidR="00890FB8" w:rsidRPr="00F10358">
        <w:rPr>
          <w:rFonts w:ascii="Verdana" w:hAnsi="Verdana"/>
          <w:color w:val="000000" w:themeColor="text1"/>
          <w:sz w:val="20"/>
          <w:szCs w:val="20"/>
        </w:rPr>
        <w:t xml:space="preserve">contratti </w:t>
      </w:r>
      <w:r w:rsidR="000E7F3D" w:rsidRPr="00F10358">
        <w:rPr>
          <w:rFonts w:ascii="Verdana" w:hAnsi="Verdana"/>
          <w:color w:val="000000" w:themeColor="text1"/>
          <w:sz w:val="20"/>
          <w:szCs w:val="20"/>
        </w:rPr>
        <w:t>di servizio non si limita</w:t>
      </w:r>
      <w:r w:rsidR="00890FB8" w:rsidRPr="00F10358">
        <w:rPr>
          <w:rFonts w:ascii="Verdana" w:hAnsi="Verdana"/>
          <w:color w:val="000000" w:themeColor="text1"/>
          <w:sz w:val="20"/>
          <w:szCs w:val="20"/>
        </w:rPr>
        <w:t>no</w:t>
      </w:r>
      <w:r w:rsidR="000E7F3D" w:rsidRPr="00F10358">
        <w:rPr>
          <w:rFonts w:ascii="Verdana" w:hAnsi="Verdana"/>
          <w:color w:val="000000" w:themeColor="text1"/>
          <w:sz w:val="20"/>
          <w:szCs w:val="20"/>
        </w:rPr>
        <w:t xml:space="preserve"> a disciplinare i rapporti del CISS con la società, ma</w:t>
      </w:r>
      <w:r w:rsidR="00816852" w:rsidRPr="00F10358">
        <w:rPr>
          <w:rFonts w:ascii="Verdana" w:hAnsi="Verdana"/>
          <w:color w:val="000000" w:themeColor="text1"/>
          <w:sz w:val="20"/>
          <w:szCs w:val="20"/>
        </w:rPr>
        <w:t xml:space="preserve"> regola</w:t>
      </w:r>
      <w:r w:rsidR="00890FB8" w:rsidRPr="00F10358">
        <w:rPr>
          <w:rFonts w:ascii="Verdana" w:hAnsi="Verdana"/>
          <w:color w:val="000000" w:themeColor="text1"/>
          <w:sz w:val="20"/>
          <w:szCs w:val="20"/>
        </w:rPr>
        <w:t>no</w:t>
      </w:r>
      <w:r w:rsidR="00816852" w:rsidRPr="00F10358">
        <w:rPr>
          <w:rFonts w:ascii="Verdana" w:hAnsi="Verdana"/>
          <w:color w:val="000000" w:themeColor="text1"/>
          <w:sz w:val="20"/>
          <w:szCs w:val="20"/>
        </w:rPr>
        <w:t xml:space="preserve"> </w:t>
      </w:r>
      <w:r w:rsidR="000E7F3D" w:rsidRPr="00F10358">
        <w:rPr>
          <w:rFonts w:ascii="Verdana" w:hAnsi="Verdana"/>
          <w:color w:val="000000" w:themeColor="text1"/>
          <w:sz w:val="20"/>
          <w:szCs w:val="20"/>
        </w:rPr>
        <w:t xml:space="preserve">anche quelli del Consorzio con il socio privato di maggioranza. </w:t>
      </w:r>
    </w:p>
    <w:p w:rsidR="00264DCB" w:rsidRPr="00F10358" w:rsidRDefault="000E7F3D">
      <w:pPr>
        <w:shd w:val="clear" w:color="auto" w:fill="FEFFFF"/>
        <w:spacing w:line="360" w:lineRule="auto"/>
        <w:ind w:firstLine="354"/>
        <w:jc w:val="both"/>
        <w:rPr>
          <w:rStyle w:val="Numeropagina"/>
          <w:rFonts w:ascii="Verdana" w:eastAsia="Verdana" w:hAnsi="Verdana" w:cs="Verdana"/>
          <w:color w:val="000000" w:themeColor="text1"/>
          <w:sz w:val="20"/>
          <w:szCs w:val="20"/>
        </w:rPr>
      </w:pPr>
      <w:r w:rsidRPr="00F10358">
        <w:rPr>
          <w:rStyle w:val="Numeropagina"/>
          <w:rFonts w:ascii="Verdana" w:hAnsi="Verdana"/>
          <w:color w:val="000000" w:themeColor="text1"/>
          <w:sz w:val="20"/>
          <w:szCs w:val="20"/>
        </w:rPr>
        <w:t>Il contratto di servizio, quindi, di fatto e in diritto</w:t>
      </w:r>
      <w:r w:rsidR="00816852" w:rsidRPr="00F10358">
        <w:rPr>
          <w:rStyle w:val="Numeropagina"/>
          <w:rFonts w:ascii="Verdana" w:hAnsi="Verdana"/>
          <w:color w:val="000000" w:themeColor="text1"/>
          <w:sz w:val="20"/>
          <w:szCs w:val="20"/>
        </w:rPr>
        <w:t>,</w:t>
      </w:r>
      <w:r w:rsidRPr="00F10358">
        <w:rPr>
          <w:rStyle w:val="Numeropagina"/>
          <w:rFonts w:ascii="Verdana" w:hAnsi="Verdana"/>
          <w:color w:val="000000" w:themeColor="text1"/>
          <w:sz w:val="20"/>
          <w:szCs w:val="20"/>
        </w:rPr>
        <w:t xml:space="preserve"> integra un patto parasociale direttamente incidente sulla </w:t>
      </w:r>
      <w:proofErr w:type="spellStart"/>
      <w:r w:rsidRPr="00F10358">
        <w:rPr>
          <w:rFonts w:ascii="Verdana" w:hAnsi="Verdana"/>
          <w:i/>
          <w:iCs/>
          <w:color w:val="000000" w:themeColor="text1"/>
          <w:sz w:val="20"/>
          <w:szCs w:val="20"/>
        </w:rPr>
        <w:t>governance</w:t>
      </w:r>
      <w:proofErr w:type="spellEnd"/>
      <w:r w:rsidRPr="00F10358">
        <w:rPr>
          <w:rStyle w:val="Numeropagina"/>
          <w:rFonts w:ascii="Verdana" w:hAnsi="Verdana"/>
          <w:color w:val="000000" w:themeColor="text1"/>
          <w:sz w:val="20"/>
          <w:szCs w:val="20"/>
        </w:rPr>
        <w:t xml:space="preserve"> societaria, in termini di </w:t>
      </w:r>
      <w:r w:rsidR="00816852" w:rsidRPr="00F10358">
        <w:rPr>
          <w:rStyle w:val="Numeropagina"/>
          <w:rFonts w:ascii="Verdana" w:hAnsi="Verdana"/>
          <w:color w:val="000000" w:themeColor="text1"/>
          <w:sz w:val="20"/>
          <w:szCs w:val="20"/>
        </w:rPr>
        <w:t xml:space="preserve">reciproci </w:t>
      </w:r>
      <w:r w:rsidRPr="00F10358">
        <w:rPr>
          <w:rStyle w:val="Numeropagina"/>
          <w:rFonts w:ascii="Verdana" w:hAnsi="Verdana"/>
          <w:color w:val="000000" w:themeColor="text1"/>
          <w:sz w:val="20"/>
          <w:szCs w:val="20"/>
        </w:rPr>
        <w:t xml:space="preserve">dare-avere (cfr. </w:t>
      </w:r>
      <w:r w:rsidRPr="00F10358">
        <w:rPr>
          <w:rStyle w:val="Numeropagina"/>
          <w:rFonts w:ascii="Verdana" w:hAnsi="Verdana"/>
          <w:i/>
          <w:color w:val="000000" w:themeColor="text1"/>
          <w:sz w:val="20"/>
          <w:szCs w:val="20"/>
        </w:rPr>
        <w:t>infra</w:t>
      </w:r>
      <w:r w:rsidRPr="00F10358">
        <w:rPr>
          <w:rStyle w:val="Numeropagina"/>
          <w:rFonts w:ascii="Verdana" w:hAnsi="Verdana"/>
          <w:color w:val="000000" w:themeColor="text1"/>
          <w:sz w:val="20"/>
          <w:szCs w:val="20"/>
        </w:rPr>
        <w:t xml:space="preserve"> l’</w:t>
      </w:r>
      <w:r w:rsidRPr="00F10358">
        <w:rPr>
          <w:rStyle w:val="Numeropagina"/>
          <w:rFonts w:ascii="Verdana" w:hAnsi="Verdana"/>
          <w:i/>
          <w:color w:val="000000" w:themeColor="text1"/>
          <w:sz w:val="20"/>
          <w:szCs w:val="20"/>
        </w:rPr>
        <w:t xml:space="preserve">excursus </w:t>
      </w:r>
      <w:r w:rsidRPr="00F10358">
        <w:rPr>
          <w:rStyle w:val="Numeropagina"/>
          <w:rFonts w:ascii="Verdana" w:hAnsi="Verdana"/>
          <w:color w:val="000000" w:themeColor="text1"/>
          <w:sz w:val="20"/>
          <w:szCs w:val="20"/>
        </w:rPr>
        <w:t xml:space="preserve">sui rapporti economici di </w:t>
      </w:r>
      <w:r w:rsidR="003B4079">
        <w:rPr>
          <w:rStyle w:val="Numeropagina"/>
          <w:rFonts w:ascii="Verdana" w:hAnsi="Verdana"/>
          <w:color w:val="000000" w:themeColor="text1"/>
          <w:sz w:val="20"/>
          <w:szCs w:val="20"/>
        </w:rPr>
        <w:t>INCOFARMA</w:t>
      </w:r>
      <w:r w:rsidR="003C049A" w:rsidRPr="00F10358">
        <w:rPr>
          <w:rStyle w:val="Numeropagina"/>
          <w:rFonts w:ascii="Verdana" w:hAnsi="Verdana"/>
          <w:color w:val="000000" w:themeColor="text1"/>
          <w:sz w:val="20"/>
          <w:szCs w:val="20"/>
        </w:rPr>
        <w:t xml:space="preserve"> </w:t>
      </w:r>
      <w:r w:rsidRPr="00F10358">
        <w:rPr>
          <w:rStyle w:val="Numeropagina"/>
          <w:rFonts w:ascii="Verdana" w:hAnsi="Verdana"/>
          <w:color w:val="000000" w:themeColor="text1"/>
          <w:sz w:val="20"/>
          <w:szCs w:val="20"/>
        </w:rPr>
        <w:t>e socio privato col Consorzio</w:t>
      </w:r>
      <w:r w:rsidR="005F437E">
        <w:rPr>
          <w:rStyle w:val="Numeropagina"/>
          <w:rFonts w:ascii="Verdana" w:hAnsi="Verdana"/>
          <w:color w:val="000000" w:themeColor="text1"/>
          <w:sz w:val="20"/>
          <w:szCs w:val="20"/>
        </w:rPr>
        <w:t>;</w:t>
      </w:r>
      <w:r w:rsidR="005F437E" w:rsidRPr="00F10358">
        <w:rPr>
          <w:rStyle w:val="Numeropagina"/>
          <w:rFonts w:ascii="Verdana" w:hAnsi="Verdana"/>
          <w:color w:val="000000" w:themeColor="text1"/>
          <w:sz w:val="20"/>
          <w:szCs w:val="20"/>
        </w:rPr>
        <w:t xml:space="preserve"> </w:t>
      </w:r>
      <w:r w:rsidR="005F437E">
        <w:rPr>
          <w:rStyle w:val="Numeropagina"/>
          <w:rFonts w:ascii="Verdana" w:hAnsi="Verdana"/>
          <w:color w:val="000000" w:themeColor="text1"/>
          <w:sz w:val="20"/>
          <w:szCs w:val="20"/>
        </w:rPr>
        <w:t>i</w:t>
      </w:r>
      <w:r w:rsidR="005F437E" w:rsidRPr="00F10358">
        <w:rPr>
          <w:rStyle w:val="Numeropagina"/>
          <w:rFonts w:ascii="Verdana" w:hAnsi="Verdana"/>
          <w:color w:val="000000" w:themeColor="text1"/>
          <w:sz w:val="20"/>
          <w:szCs w:val="20"/>
        </w:rPr>
        <w:t xml:space="preserve">n </w:t>
      </w:r>
      <w:r w:rsidR="005F0982" w:rsidRPr="00F10358">
        <w:rPr>
          <w:rStyle w:val="Numeropagina"/>
          <w:rFonts w:ascii="Verdana" w:hAnsi="Verdana"/>
          <w:color w:val="000000" w:themeColor="text1"/>
          <w:sz w:val="20"/>
          <w:szCs w:val="20"/>
        </w:rPr>
        <w:t>buona sostanza è garantito un compenso “</w:t>
      </w:r>
      <w:proofErr w:type="spellStart"/>
      <w:r w:rsidR="005F0982" w:rsidRPr="00F10358">
        <w:rPr>
          <w:rStyle w:val="Numeropagina"/>
          <w:rFonts w:ascii="Verdana" w:hAnsi="Verdana"/>
          <w:color w:val="000000" w:themeColor="text1"/>
          <w:sz w:val="20"/>
          <w:szCs w:val="20"/>
        </w:rPr>
        <w:t>floor</w:t>
      </w:r>
      <w:proofErr w:type="spellEnd"/>
      <w:r w:rsidR="005F0982" w:rsidRPr="00F10358">
        <w:rPr>
          <w:rStyle w:val="Numeropagina"/>
          <w:rFonts w:ascii="Verdana" w:hAnsi="Verdana"/>
          <w:color w:val="000000" w:themeColor="text1"/>
          <w:sz w:val="20"/>
          <w:szCs w:val="20"/>
        </w:rPr>
        <w:t>” anche in caso di perdite</w:t>
      </w:r>
      <w:r w:rsidRPr="00F10358">
        <w:rPr>
          <w:rStyle w:val="Numeropagina"/>
          <w:rFonts w:ascii="Verdana" w:hAnsi="Verdana"/>
          <w:color w:val="000000" w:themeColor="text1"/>
          <w:sz w:val="20"/>
          <w:szCs w:val="20"/>
        </w:rPr>
        <w:t xml:space="preserve">) </w:t>
      </w:r>
      <w:r w:rsidR="00816852" w:rsidRPr="00F10358">
        <w:rPr>
          <w:rStyle w:val="Numeropagina"/>
          <w:rFonts w:ascii="Verdana" w:hAnsi="Verdana"/>
          <w:color w:val="000000" w:themeColor="text1"/>
          <w:sz w:val="20"/>
          <w:szCs w:val="20"/>
        </w:rPr>
        <w:t xml:space="preserve">e </w:t>
      </w:r>
      <w:r w:rsidR="005F437E">
        <w:rPr>
          <w:rStyle w:val="Numeropagina"/>
          <w:rFonts w:ascii="Verdana" w:hAnsi="Verdana"/>
          <w:color w:val="000000" w:themeColor="text1"/>
          <w:sz w:val="20"/>
          <w:szCs w:val="20"/>
        </w:rPr>
        <w:t xml:space="preserve">in termini di </w:t>
      </w:r>
      <w:r w:rsidRPr="00F10358">
        <w:rPr>
          <w:rStyle w:val="Numeropagina"/>
          <w:rFonts w:ascii="Verdana" w:hAnsi="Verdana"/>
          <w:color w:val="000000" w:themeColor="text1"/>
          <w:sz w:val="20"/>
          <w:szCs w:val="20"/>
        </w:rPr>
        <w:t>responsabilità (cfr. i</w:t>
      </w:r>
      <w:r w:rsidRPr="00F10358">
        <w:rPr>
          <w:rStyle w:val="Numeropagina"/>
          <w:rFonts w:ascii="Verdana" w:hAnsi="Verdana"/>
          <w:i/>
          <w:color w:val="000000" w:themeColor="text1"/>
          <w:sz w:val="20"/>
          <w:szCs w:val="20"/>
        </w:rPr>
        <w:t>nfra</w:t>
      </w:r>
      <w:r w:rsidRPr="00F10358">
        <w:rPr>
          <w:rStyle w:val="Numeropagina"/>
          <w:rFonts w:ascii="Verdana" w:hAnsi="Verdana"/>
          <w:color w:val="000000" w:themeColor="text1"/>
          <w:sz w:val="20"/>
          <w:szCs w:val="20"/>
        </w:rPr>
        <w:t xml:space="preserve"> la questione concernente il lodo arbitrale in danno del CISS e quella della mancata costituzione di un organo </w:t>
      </w:r>
      <w:r w:rsidR="007012BA" w:rsidRPr="00F10358">
        <w:rPr>
          <w:rStyle w:val="Numeropagina"/>
          <w:rFonts w:ascii="Verdana" w:hAnsi="Verdana"/>
          <w:color w:val="000000" w:themeColor="text1"/>
          <w:sz w:val="20"/>
          <w:szCs w:val="20"/>
        </w:rPr>
        <w:t>“rafforzativo” del</w:t>
      </w:r>
      <w:r w:rsidR="005F0982" w:rsidRPr="00F10358">
        <w:rPr>
          <w:rStyle w:val="Numeropagina"/>
          <w:rFonts w:ascii="Verdana" w:hAnsi="Verdana"/>
          <w:color w:val="000000" w:themeColor="text1"/>
          <w:sz w:val="20"/>
          <w:szCs w:val="20"/>
        </w:rPr>
        <w:t xml:space="preserve"> sistema dei controlli</w:t>
      </w:r>
      <w:r w:rsidRPr="00F10358">
        <w:rPr>
          <w:rStyle w:val="Numeropagina"/>
          <w:rFonts w:ascii="Verdana" w:hAnsi="Verdana"/>
          <w:color w:val="000000" w:themeColor="text1"/>
          <w:sz w:val="20"/>
          <w:szCs w:val="20"/>
        </w:rPr>
        <w:t xml:space="preserve"> sulla società).</w:t>
      </w:r>
    </w:p>
    <w:p w:rsidR="00264DCB" w:rsidRPr="00F10358" w:rsidRDefault="00C30BE0">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b/>
          <w:bCs/>
          <w:color w:val="000000" w:themeColor="text1"/>
          <w:sz w:val="20"/>
          <w:szCs w:val="20"/>
        </w:rPr>
        <w:t>7</w:t>
      </w:r>
      <w:r w:rsidR="000E7F3D" w:rsidRPr="00F10358">
        <w:rPr>
          <w:rFonts w:ascii="Verdana" w:hAnsi="Verdana"/>
          <w:b/>
          <w:bCs/>
          <w:color w:val="000000" w:themeColor="text1"/>
          <w:sz w:val="20"/>
          <w:szCs w:val="20"/>
        </w:rPr>
        <w:t xml:space="preserve">.1. I rapporti economici. Start-up e primo biennio. </w:t>
      </w:r>
      <w:r w:rsidR="000E7F3D" w:rsidRPr="00F10358">
        <w:rPr>
          <w:rFonts w:ascii="Verdana" w:hAnsi="Verdana"/>
          <w:color w:val="000000" w:themeColor="text1"/>
          <w:sz w:val="20"/>
          <w:szCs w:val="20"/>
        </w:rPr>
        <w:t>Dal primo contratto di servizio sottoscritto (contratto di servizio del 10/03/2005 registrato a Sessa Aurunca l’8/04/2005 al n. 768</w:t>
      </w:r>
      <w:r w:rsidR="005F437E">
        <w:rPr>
          <w:rFonts w:ascii="Verdana" w:hAnsi="Verdana"/>
          <w:color w:val="000000" w:themeColor="text1"/>
          <w:sz w:val="20"/>
          <w:szCs w:val="20"/>
        </w:rPr>
        <w:t>)</w:t>
      </w:r>
      <w:r w:rsidR="000E7F3D" w:rsidRPr="00F10358">
        <w:rPr>
          <w:rFonts w:ascii="Verdana" w:hAnsi="Verdana"/>
          <w:color w:val="000000" w:themeColor="text1"/>
          <w:sz w:val="20"/>
          <w:szCs w:val="20"/>
        </w:rPr>
        <w:t>, si evince che nella sua prima fase di vita il Consorzio avrebbe dovuto percepire dal socio privato</w:t>
      </w:r>
      <w:r w:rsidR="00816852" w:rsidRPr="00F10358">
        <w:rPr>
          <w:rFonts w:ascii="Verdana" w:hAnsi="Verdana"/>
          <w:color w:val="000000" w:themeColor="text1"/>
          <w:sz w:val="20"/>
          <w:szCs w:val="20"/>
        </w:rPr>
        <w:t xml:space="preserve"> un provento diretto a garantire “l’autosufficienza del Consorzio” e articolato come segue</w:t>
      </w:r>
      <w:r w:rsidR="000E7F3D" w:rsidRPr="00F10358">
        <w:rPr>
          <w:rFonts w:ascii="Verdana" w:hAnsi="Verdana"/>
          <w:color w:val="000000" w:themeColor="text1"/>
          <w:sz w:val="20"/>
          <w:szCs w:val="20"/>
        </w:rPr>
        <w:t>:</w:t>
      </w:r>
    </w:p>
    <w:p w:rsidR="00264DCB" w:rsidRPr="00F10358" w:rsidRDefault="000E7F3D" w:rsidP="000B182F">
      <w:pPr>
        <w:shd w:val="clear" w:color="auto" w:fill="FEFFFF"/>
        <w:tabs>
          <w:tab w:val="left" w:pos="5954"/>
        </w:tabs>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a) un “</w:t>
      </w:r>
      <w:r w:rsidRPr="00F10358">
        <w:rPr>
          <w:rFonts w:ascii="Verdana" w:hAnsi="Verdana"/>
          <w:color w:val="000000" w:themeColor="text1"/>
          <w:sz w:val="20"/>
          <w:szCs w:val="20"/>
          <w:u w:val="single"/>
        </w:rPr>
        <w:t>canone fisso</w:t>
      </w:r>
      <w:r w:rsidRPr="00F10358">
        <w:rPr>
          <w:rFonts w:ascii="Verdana" w:hAnsi="Verdana"/>
          <w:color w:val="000000" w:themeColor="text1"/>
          <w:sz w:val="20"/>
          <w:szCs w:val="20"/>
        </w:rPr>
        <w:t xml:space="preserve"> annuo nella misura di € 3.000</w:t>
      </w:r>
      <w:r w:rsidR="005F4CF4" w:rsidRPr="00F10358">
        <w:rPr>
          <w:rFonts w:ascii="Verdana" w:hAnsi="Verdana"/>
          <w:color w:val="000000" w:themeColor="text1"/>
          <w:sz w:val="20"/>
          <w:szCs w:val="20"/>
        </w:rPr>
        <w:t>,00</w:t>
      </w:r>
      <w:r w:rsidRPr="00F10358">
        <w:rPr>
          <w:rFonts w:ascii="Verdana" w:hAnsi="Verdana"/>
          <w:color w:val="000000" w:themeColor="text1"/>
          <w:sz w:val="20"/>
          <w:szCs w:val="20"/>
        </w:rPr>
        <w:t xml:space="preserve"> per ogni Comune </w:t>
      </w:r>
      <w:r w:rsidR="005F437E">
        <w:rPr>
          <w:rFonts w:ascii="Verdana" w:hAnsi="Verdana"/>
          <w:color w:val="000000" w:themeColor="text1"/>
          <w:sz w:val="20"/>
          <w:szCs w:val="20"/>
        </w:rPr>
        <w:t>c</w:t>
      </w:r>
      <w:r w:rsidRPr="00F10358">
        <w:rPr>
          <w:rFonts w:ascii="Verdana" w:hAnsi="Verdana"/>
          <w:color w:val="000000" w:themeColor="text1"/>
          <w:sz w:val="20"/>
          <w:szCs w:val="20"/>
        </w:rPr>
        <w:t xml:space="preserve">onsorziato titolare del servizio farmaceutico attivo gestito dalla </w:t>
      </w:r>
      <w:r w:rsidR="003B4079">
        <w:rPr>
          <w:rFonts w:ascii="Verdana" w:hAnsi="Verdana"/>
          <w:color w:val="000000" w:themeColor="text1"/>
          <w:sz w:val="20"/>
          <w:szCs w:val="20"/>
        </w:rPr>
        <w:t>INCOFARMA</w:t>
      </w:r>
      <w:r w:rsidRPr="00F10358">
        <w:rPr>
          <w:rFonts w:ascii="Verdana" w:hAnsi="Verdana"/>
          <w:color w:val="000000" w:themeColor="text1"/>
          <w:sz w:val="20"/>
          <w:szCs w:val="20"/>
        </w:rPr>
        <w:t xml:space="preserve"> </w:t>
      </w:r>
      <w:r w:rsidR="00371432" w:rsidRPr="00F10358">
        <w:rPr>
          <w:rFonts w:ascii="Verdana" w:hAnsi="Verdana"/>
          <w:color w:val="000000" w:themeColor="text1"/>
          <w:sz w:val="20"/>
          <w:szCs w:val="20"/>
        </w:rPr>
        <w:t>S.</w:t>
      </w:r>
      <w:r w:rsidRPr="00F10358">
        <w:rPr>
          <w:rFonts w:ascii="Verdana" w:hAnsi="Verdana"/>
          <w:color w:val="000000" w:themeColor="text1"/>
          <w:sz w:val="20"/>
          <w:szCs w:val="20"/>
        </w:rPr>
        <w:t>p</w:t>
      </w:r>
      <w:r w:rsidR="00371432" w:rsidRPr="00F10358">
        <w:rPr>
          <w:rFonts w:ascii="Verdana" w:hAnsi="Verdana"/>
          <w:color w:val="000000" w:themeColor="text1"/>
          <w:sz w:val="20"/>
          <w:szCs w:val="20"/>
        </w:rPr>
        <w:t>.A</w:t>
      </w:r>
      <w:r w:rsidR="00371432" w:rsidRPr="00F10358">
        <w:rPr>
          <w:rFonts w:ascii="Verdana" w:hAnsi="Verdana"/>
          <w:color w:val="000000" w:themeColor="text1"/>
          <w:sz w:val="20"/>
          <w:szCs w:val="20"/>
          <w:u w:val="single"/>
        </w:rPr>
        <w:t>.</w:t>
      </w:r>
      <w:r w:rsidRPr="00F10358">
        <w:rPr>
          <w:rFonts w:ascii="Verdana" w:hAnsi="Verdana"/>
          <w:color w:val="000000" w:themeColor="text1"/>
          <w:sz w:val="20"/>
          <w:szCs w:val="20"/>
          <w:u w:val="single"/>
        </w:rPr>
        <w:t>”, indipendentemente dalla realizzazione di utili</w:t>
      </w:r>
      <w:r w:rsidRPr="00F10358">
        <w:rPr>
          <w:rFonts w:ascii="Verdana" w:hAnsi="Verdana"/>
          <w:color w:val="000000" w:themeColor="text1"/>
          <w:sz w:val="20"/>
          <w:szCs w:val="20"/>
        </w:rPr>
        <w:t>. Tale corrispettivo finanziario era conseguente alla quantificazione effettuata</w:t>
      </w:r>
      <w:r w:rsidR="00890FB8" w:rsidRPr="00F10358">
        <w:rPr>
          <w:rFonts w:ascii="Verdana" w:hAnsi="Verdana"/>
          <w:color w:val="000000" w:themeColor="text1"/>
          <w:sz w:val="20"/>
          <w:szCs w:val="20"/>
        </w:rPr>
        <w:t>, in sede di gara, ne</w:t>
      </w:r>
      <w:r w:rsidRPr="00F10358">
        <w:rPr>
          <w:rFonts w:ascii="Verdana" w:hAnsi="Verdana"/>
          <w:color w:val="000000" w:themeColor="text1"/>
          <w:sz w:val="20"/>
          <w:szCs w:val="20"/>
        </w:rPr>
        <w:t xml:space="preserve">ll’offerta economica dell’aggiudicatario (€ 250x12 mensilità per ogni farmacia), ed è stato oggetto di accettazione con l’aggiudicazione medesima con offerta al ribasso della base. </w:t>
      </w:r>
    </w:p>
    <w:p w:rsidR="00264DCB" w:rsidRPr="00F10358"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 xml:space="preserve">b) </w:t>
      </w:r>
      <w:r w:rsidR="00816852" w:rsidRPr="00F10358">
        <w:rPr>
          <w:rFonts w:ascii="Verdana" w:hAnsi="Verdana"/>
          <w:color w:val="000000" w:themeColor="text1"/>
          <w:sz w:val="20"/>
          <w:szCs w:val="20"/>
        </w:rPr>
        <w:t>in aggiunta</w:t>
      </w:r>
      <w:r w:rsidRPr="00F10358">
        <w:rPr>
          <w:rFonts w:ascii="Verdana" w:hAnsi="Verdana"/>
          <w:color w:val="000000" w:themeColor="text1"/>
          <w:sz w:val="20"/>
          <w:szCs w:val="20"/>
        </w:rPr>
        <w:t xml:space="preserve">, ovviamente, </w:t>
      </w:r>
      <w:r w:rsidRPr="00F10358">
        <w:rPr>
          <w:rFonts w:ascii="Verdana" w:hAnsi="Verdana"/>
          <w:color w:val="000000" w:themeColor="text1"/>
          <w:sz w:val="20"/>
          <w:szCs w:val="20"/>
          <w:u w:val="single"/>
        </w:rPr>
        <w:t>la partecipazione agli utili</w:t>
      </w:r>
      <w:r w:rsidRPr="00F10358">
        <w:rPr>
          <w:rFonts w:ascii="Verdana" w:hAnsi="Verdana"/>
          <w:color w:val="000000" w:themeColor="text1"/>
          <w:sz w:val="20"/>
          <w:szCs w:val="20"/>
        </w:rPr>
        <w:t xml:space="preserve">, proporzionale alla quota del 25% e riveniente direttamente da </w:t>
      </w:r>
      <w:r w:rsidR="003B4079">
        <w:rPr>
          <w:rFonts w:ascii="Verdana" w:hAnsi="Verdana"/>
          <w:color w:val="000000" w:themeColor="text1"/>
          <w:sz w:val="20"/>
          <w:szCs w:val="20"/>
        </w:rPr>
        <w:t>INCOFARMA</w:t>
      </w:r>
      <w:r w:rsidRPr="00F10358">
        <w:rPr>
          <w:rFonts w:ascii="Verdana" w:hAnsi="Verdana"/>
          <w:color w:val="000000" w:themeColor="text1"/>
          <w:sz w:val="20"/>
          <w:szCs w:val="20"/>
        </w:rPr>
        <w:t xml:space="preserve">. </w:t>
      </w:r>
    </w:p>
    <w:p w:rsidR="00264DCB" w:rsidRPr="00F10358"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t xml:space="preserve">c) </w:t>
      </w:r>
      <w:r w:rsidR="00816852" w:rsidRPr="00F10358">
        <w:rPr>
          <w:rFonts w:ascii="Verdana" w:hAnsi="Verdana"/>
          <w:color w:val="000000" w:themeColor="text1"/>
          <w:sz w:val="20"/>
          <w:szCs w:val="20"/>
        </w:rPr>
        <w:t>inoltre</w:t>
      </w:r>
      <w:r w:rsidRPr="00F10358">
        <w:rPr>
          <w:rFonts w:ascii="Verdana" w:hAnsi="Verdana"/>
          <w:color w:val="000000" w:themeColor="text1"/>
          <w:sz w:val="20"/>
          <w:szCs w:val="20"/>
        </w:rPr>
        <w:t>, l’aggiudicatario socio privato si accollava l</w:t>
      </w:r>
      <w:proofErr w:type="gramStart"/>
      <w:r w:rsidR="007F5EA4" w:rsidRPr="00F10358">
        <w:rPr>
          <w:rFonts w:ascii="Verdana" w:hAnsi="Verdana"/>
          <w:color w:val="000000" w:themeColor="text1"/>
          <w:sz w:val="20"/>
          <w:szCs w:val="20"/>
        </w:rPr>
        <w:t>’</w:t>
      </w:r>
      <w:r w:rsidRPr="00F10358">
        <w:rPr>
          <w:rFonts w:ascii="Verdana" w:hAnsi="Verdana"/>
          <w:color w:val="000000" w:themeColor="text1"/>
          <w:sz w:val="20"/>
          <w:szCs w:val="20"/>
          <w:u w:val="single"/>
        </w:rPr>
        <w:t>”anticipo</w:t>
      </w:r>
      <w:proofErr w:type="gramEnd"/>
      <w:r w:rsidRPr="00F10358">
        <w:rPr>
          <w:rFonts w:ascii="Verdana" w:hAnsi="Verdana"/>
          <w:color w:val="000000" w:themeColor="text1"/>
          <w:sz w:val="20"/>
          <w:szCs w:val="20"/>
          <w:u w:val="single"/>
        </w:rPr>
        <w:t>” dei costi di avvio e apertura delle farmacie</w:t>
      </w:r>
      <w:r w:rsidRPr="00F10358">
        <w:rPr>
          <w:rFonts w:ascii="Verdana" w:hAnsi="Verdana"/>
          <w:color w:val="000000" w:themeColor="text1"/>
          <w:sz w:val="20"/>
          <w:szCs w:val="20"/>
        </w:rPr>
        <w:t xml:space="preserve"> nella titolarità dei comuni aderenti, in conformità ad un piano di ammortamento presentato in sede di offerta ed aggiudicazione dal socio privato</w:t>
      </w:r>
      <w:r w:rsidR="00C42591">
        <w:rPr>
          <w:rFonts w:ascii="Verdana" w:hAnsi="Verdana"/>
          <w:color w:val="000000" w:themeColor="text1"/>
          <w:sz w:val="20"/>
          <w:szCs w:val="20"/>
        </w:rPr>
        <w:t xml:space="preserve"> medesimo</w:t>
      </w:r>
      <w:r w:rsidR="00816852" w:rsidRPr="00F10358">
        <w:rPr>
          <w:rFonts w:ascii="Verdana" w:hAnsi="Verdana"/>
          <w:color w:val="000000" w:themeColor="text1"/>
          <w:sz w:val="20"/>
          <w:szCs w:val="20"/>
        </w:rPr>
        <w:t>.</w:t>
      </w:r>
      <w:r w:rsidRPr="00F10358">
        <w:rPr>
          <w:rFonts w:ascii="Verdana" w:hAnsi="Verdana"/>
          <w:color w:val="000000" w:themeColor="text1"/>
          <w:sz w:val="20"/>
          <w:szCs w:val="20"/>
        </w:rPr>
        <w:t xml:space="preserve"> </w:t>
      </w:r>
    </w:p>
    <w:p w:rsidR="00264DCB" w:rsidRPr="00F10358" w:rsidRDefault="00C30BE0">
      <w:pPr>
        <w:shd w:val="clear" w:color="auto" w:fill="FEFFFF"/>
        <w:spacing w:line="360" w:lineRule="auto"/>
        <w:ind w:firstLine="354"/>
        <w:jc w:val="both"/>
        <w:rPr>
          <w:rStyle w:val="Numeropagina"/>
          <w:rFonts w:ascii="Verdana" w:eastAsia="Verdana" w:hAnsi="Verdana" w:cs="Verdana"/>
          <w:color w:val="000000" w:themeColor="text1"/>
          <w:sz w:val="20"/>
          <w:szCs w:val="20"/>
        </w:rPr>
      </w:pPr>
      <w:r w:rsidRPr="00F10358">
        <w:rPr>
          <w:rFonts w:ascii="Verdana" w:hAnsi="Verdana"/>
          <w:b/>
          <w:bCs/>
          <w:color w:val="000000" w:themeColor="text1"/>
          <w:sz w:val="20"/>
          <w:szCs w:val="20"/>
        </w:rPr>
        <w:t>7</w:t>
      </w:r>
      <w:r w:rsidR="000E7F3D" w:rsidRPr="00F10358">
        <w:rPr>
          <w:rFonts w:ascii="Verdana" w:hAnsi="Verdana"/>
          <w:b/>
          <w:bCs/>
          <w:color w:val="000000" w:themeColor="text1"/>
          <w:sz w:val="20"/>
          <w:szCs w:val="20"/>
        </w:rPr>
        <w:t>.1.1. Quinquennio 2007-2011.</w:t>
      </w:r>
      <w:r w:rsidR="000E7F3D" w:rsidRPr="00F10358">
        <w:rPr>
          <w:rStyle w:val="Numeropagina"/>
          <w:rFonts w:ascii="Verdana" w:hAnsi="Verdana"/>
          <w:color w:val="000000" w:themeColor="text1"/>
          <w:sz w:val="20"/>
          <w:szCs w:val="20"/>
        </w:rPr>
        <w:t xml:space="preserve"> L’analisi dei successivi contratti di servizio del 2007 (</w:t>
      </w:r>
      <w:proofErr w:type="spellStart"/>
      <w:r w:rsidR="000E7F3D" w:rsidRPr="00F10358">
        <w:rPr>
          <w:rStyle w:val="Numeropagina"/>
          <w:rFonts w:ascii="Verdana" w:hAnsi="Verdana"/>
          <w:color w:val="000000" w:themeColor="text1"/>
          <w:sz w:val="20"/>
          <w:szCs w:val="20"/>
        </w:rPr>
        <w:t>prot</w:t>
      </w:r>
      <w:proofErr w:type="spellEnd"/>
      <w:r w:rsidR="000E7F3D" w:rsidRPr="00F10358">
        <w:rPr>
          <w:rStyle w:val="Numeropagina"/>
          <w:rFonts w:ascii="Verdana" w:hAnsi="Verdana"/>
          <w:color w:val="000000" w:themeColor="text1"/>
          <w:sz w:val="20"/>
          <w:szCs w:val="20"/>
        </w:rPr>
        <w:t xml:space="preserve">. CISS n. 356 del 30/11/2007) e del 2014 (relazione di SOCIGESS al Consorzio con </w:t>
      </w:r>
      <w:proofErr w:type="spellStart"/>
      <w:r w:rsidR="000E7F3D" w:rsidRPr="00F10358">
        <w:rPr>
          <w:rStyle w:val="Numeropagina"/>
          <w:rFonts w:ascii="Verdana" w:hAnsi="Verdana"/>
          <w:color w:val="000000" w:themeColor="text1"/>
          <w:sz w:val="20"/>
          <w:szCs w:val="20"/>
        </w:rPr>
        <w:t>prot</w:t>
      </w:r>
      <w:proofErr w:type="spellEnd"/>
      <w:r w:rsidR="000E7F3D" w:rsidRPr="00F10358">
        <w:rPr>
          <w:rStyle w:val="Numeropagina"/>
          <w:rFonts w:ascii="Verdana" w:hAnsi="Verdana"/>
          <w:color w:val="000000" w:themeColor="text1"/>
          <w:sz w:val="20"/>
          <w:szCs w:val="20"/>
        </w:rPr>
        <w:t>. 1397 del 24/10/2013; contratto deliberato il successivo 11/11/2013) evidenzia il costante mutamento dei criteri di liquidazione dei corrispettivi e</w:t>
      </w:r>
      <w:r w:rsidR="00371432" w:rsidRPr="00F10358">
        <w:rPr>
          <w:rStyle w:val="Numeropagina"/>
          <w:rFonts w:ascii="Verdana" w:hAnsi="Verdana"/>
          <w:color w:val="000000" w:themeColor="text1"/>
          <w:sz w:val="20"/>
          <w:szCs w:val="20"/>
        </w:rPr>
        <w:t>d</w:t>
      </w:r>
      <w:r w:rsidR="000E7F3D" w:rsidRPr="00F10358">
        <w:rPr>
          <w:rStyle w:val="Numeropagina"/>
          <w:rFonts w:ascii="Verdana" w:hAnsi="Verdana"/>
          <w:color w:val="000000" w:themeColor="text1"/>
          <w:sz w:val="20"/>
          <w:szCs w:val="20"/>
        </w:rPr>
        <w:t xml:space="preserve"> una variazione dei flussi finanziari concreti, </w:t>
      </w:r>
      <w:proofErr w:type="gramStart"/>
      <w:r w:rsidR="00F96A3A">
        <w:rPr>
          <w:rStyle w:val="Numeropagina"/>
          <w:rFonts w:ascii="Verdana" w:hAnsi="Verdana"/>
          <w:color w:val="000000" w:themeColor="text1"/>
          <w:sz w:val="20"/>
          <w:szCs w:val="20"/>
        </w:rPr>
        <w:t xml:space="preserve">che </w:t>
      </w:r>
      <w:r w:rsidR="000E7F3D" w:rsidRPr="00F10358">
        <w:rPr>
          <w:rStyle w:val="Numeropagina"/>
          <w:rFonts w:ascii="Verdana" w:hAnsi="Verdana"/>
          <w:color w:val="000000" w:themeColor="text1"/>
          <w:sz w:val="20"/>
          <w:szCs w:val="20"/>
        </w:rPr>
        <w:t xml:space="preserve"> ridimensiona</w:t>
      </w:r>
      <w:r w:rsidR="00F96A3A">
        <w:rPr>
          <w:rStyle w:val="Numeropagina"/>
          <w:rFonts w:ascii="Verdana" w:hAnsi="Verdana"/>
          <w:color w:val="000000" w:themeColor="text1"/>
          <w:sz w:val="20"/>
          <w:szCs w:val="20"/>
        </w:rPr>
        <w:t>no</w:t>
      </w:r>
      <w:proofErr w:type="gramEnd"/>
      <w:r w:rsidR="000E7F3D" w:rsidRPr="00F10358">
        <w:rPr>
          <w:rStyle w:val="Numeropagina"/>
          <w:rFonts w:ascii="Verdana" w:hAnsi="Verdana"/>
          <w:color w:val="000000" w:themeColor="text1"/>
          <w:sz w:val="20"/>
          <w:szCs w:val="20"/>
        </w:rPr>
        <w:t xml:space="preserve"> </w:t>
      </w:r>
      <w:r w:rsidR="00286EF2">
        <w:rPr>
          <w:rStyle w:val="Numeropagina"/>
          <w:rFonts w:ascii="Verdana" w:hAnsi="Verdana"/>
          <w:color w:val="000000" w:themeColor="text1"/>
          <w:sz w:val="20"/>
          <w:szCs w:val="20"/>
        </w:rPr>
        <w:t xml:space="preserve">il </w:t>
      </w:r>
      <w:r w:rsidR="00286EF2" w:rsidRPr="00E2584A">
        <w:rPr>
          <w:rStyle w:val="Numeropagina"/>
          <w:rFonts w:ascii="Verdana" w:hAnsi="Verdana"/>
          <w:i/>
          <w:color w:val="000000" w:themeColor="text1"/>
          <w:sz w:val="20"/>
          <w:szCs w:val="20"/>
        </w:rPr>
        <w:t xml:space="preserve">quantum </w:t>
      </w:r>
      <w:proofErr w:type="spellStart"/>
      <w:r w:rsidR="00286EF2" w:rsidRPr="00E2584A">
        <w:rPr>
          <w:rStyle w:val="Numeropagina"/>
          <w:rFonts w:ascii="Verdana" w:hAnsi="Verdana"/>
          <w:i/>
          <w:color w:val="000000" w:themeColor="text1"/>
          <w:sz w:val="20"/>
          <w:szCs w:val="20"/>
        </w:rPr>
        <w:t>debeatur</w:t>
      </w:r>
      <w:proofErr w:type="spellEnd"/>
      <w:r w:rsidR="000E7F3D" w:rsidRPr="00F10358">
        <w:rPr>
          <w:rStyle w:val="Numeropagina"/>
          <w:rFonts w:ascii="Verdana" w:hAnsi="Verdana"/>
          <w:color w:val="000000" w:themeColor="text1"/>
          <w:sz w:val="20"/>
          <w:szCs w:val="20"/>
        </w:rPr>
        <w:t>, ma</w:t>
      </w:r>
      <w:r w:rsidR="00371432" w:rsidRPr="00F10358">
        <w:rPr>
          <w:rStyle w:val="Numeropagina"/>
          <w:rFonts w:ascii="Verdana" w:hAnsi="Verdana"/>
          <w:color w:val="000000" w:themeColor="text1"/>
          <w:sz w:val="20"/>
          <w:szCs w:val="20"/>
        </w:rPr>
        <w:t>n</w:t>
      </w:r>
      <w:r w:rsidR="000E7F3D" w:rsidRPr="00F10358">
        <w:rPr>
          <w:rStyle w:val="Numeropagina"/>
          <w:rFonts w:ascii="Verdana" w:hAnsi="Verdana"/>
          <w:color w:val="000000" w:themeColor="text1"/>
          <w:sz w:val="20"/>
          <w:szCs w:val="20"/>
        </w:rPr>
        <w:t xml:space="preserve"> mano che il loro numero complessivo </w:t>
      </w:r>
      <w:r w:rsidR="00F96A3A">
        <w:rPr>
          <w:rStyle w:val="Numeropagina"/>
          <w:rFonts w:ascii="Verdana" w:hAnsi="Verdana"/>
          <w:color w:val="000000" w:themeColor="text1"/>
          <w:sz w:val="20"/>
          <w:szCs w:val="20"/>
        </w:rPr>
        <w:t xml:space="preserve">delle farmacie aperte è </w:t>
      </w:r>
      <w:r w:rsidR="00816852" w:rsidRPr="00F10358">
        <w:rPr>
          <w:rStyle w:val="Numeropagina"/>
          <w:rFonts w:ascii="Verdana" w:hAnsi="Verdana"/>
          <w:color w:val="000000" w:themeColor="text1"/>
          <w:sz w:val="20"/>
          <w:szCs w:val="20"/>
        </w:rPr>
        <w:t>ven</w:t>
      </w:r>
      <w:r w:rsidR="00F96A3A">
        <w:rPr>
          <w:rStyle w:val="Numeropagina"/>
          <w:rFonts w:ascii="Verdana" w:hAnsi="Verdana"/>
          <w:color w:val="000000" w:themeColor="text1"/>
          <w:sz w:val="20"/>
          <w:szCs w:val="20"/>
        </w:rPr>
        <w:t>uto</w:t>
      </w:r>
      <w:r w:rsidR="00816852" w:rsidRPr="00F10358">
        <w:rPr>
          <w:rStyle w:val="Numeropagina"/>
          <w:rFonts w:ascii="Verdana" w:hAnsi="Verdana"/>
          <w:color w:val="000000" w:themeColor="text1"/>
          <w:sz w:val="20"/>
          <w:szCs w:val="20"/>
        </w:rPr>
        <w:t xml:space="preserve"> ad aumentare.</w:t>
      </w:r>
    </w:p>
    <w:p w:rsidR="00264DCB" w:rsidRPr="00F10358"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F10358">
        <w:rPr>
          <w:rFonts w:ascii="Verdana" w:hAnsi="Verdana"/>
          <w:color w:val="000000" w:themeColor="text1"/>
          <w:sz w:val="20"/>
          <w:szCs w:val="20"/>
        </w:rPr>
        <w:lastRenderedPageBreak/>
        <w:t xml:space="preserve"> Con </w:t>
      </w:r>
      <w:r w:rsidR="00816852" w:rsidRPr="00F10358">
        <w:rPr>
          <w:rFonts w:ascii="Verdana" w:hAnsi="Verdana"/>
          <w:color w:val="000000" w:themeColor="text1"/>
          <w:sz w:val="20"/>
          <w:szCs w:val="20"/>
        </w:rPr>
        <w:t xml:space="preserve">la prima modifica </w:t>
      </w:r>
      <w:r w:rsidRPr="00F10358">
        <w:rPr>
          <w:rFonts w:ascii="Verdana" w:hAnsi="Verdana"/>
          <w:color w:val="000000" w:themeColor="text1"/>
          <w:sz w:val="20"/>
          <w:szCs w:val="20"/>
        </w:rPr>
        <w:t>contratt</w:t>
      </w:r>
      <w:r w:rsidR="00816852" w:rsidRPr="00F10358">
        <w:rPr>
          <w:rFonts w:ascii="Verdana" w:hAnsi="Verdana"/>
          <w:color w:val="000000" w:themeColor="text1"/>
          <w:sz w:val="20"/>
          <w:szCs w:val="20"/>
        </w:rPr>
        <w:t>uale</w:t>
      </w:r>
      <w:r w:rsidRPr="00F10358">
        <w:rPr>
          <w:rFonts w:ascii="Verdana" w:hAnsi="Verdana"/>
          <w:color w:val="000000" w:themeColor="text1"/>
          <w:sz w:val="20"/>
          <w:szCs w:val="20"/>
        </w:rPr>
        <w:t xml:space="preserve"> è stato previsto un </w:t>
      </w:r>
      <w:r w:rsidRPr="00F10358">
        <w:rPr>
          <w:rFonts w:ascii="Verdana" w:hAnsi="Verdana"/>
          <w:color w:val="000000" w:themeColor="text1"/>
          <w:sz w:val="20"/>
          <w:szCs w:val="20"/>
          <w:u w:val="single"/>
        </w:rPr>
        <w:t xml:space="preserve">innalzamento del </w:t>
      </w:r>
      <w:r w:rsidRPr="00F10358">
        <w:rPr>
          <w:rFonts w:ascii="Verdana" w:hAnsi="Verdana"/>
          <w:bCs/>
          <w:color w:val="000000" w:themeColor="text1"/>
          <w:sz w:val="20"/>
          <w:szCs w:val="20"/>
          <w:u w:val="single"/>
        </w:rPr>
        <w:t>canone</w:t>
      </w:r>
      <w:r w:rsidRPr="00F10358">
        <w:rPr>
          <w:rFonts w:ascii="Verdana" w:hAnsi="Verdana"/>
          <w:color w:val="000000" w:themeColor="text1"/>
          <w:sz w:val="20"/>
          <w:szCs w:val="20"/>
          <w:u w:val="single"/>
        </w:rPr>
        <w:t>, a sostegno delle “attività sociali” del Consorzio</w:t>
      </w:r>
      <w:r w:rsidR="002C73BA" w:rsidRPr="00F10358">
        <w:rPr>
          <w:rFonts w:ascii="Verdana" w:hAnsi="Verdana"/>
          <w:color w:val="000000" w:themeColor="text1"/>
          <w:sz w:val="20"/>
          <w:szCs w:val="20"/>
          <w:u w:val="single"/>
        </w:rPr>
        <w:t xml:space="preserve"> (in sostanza il finanziamento di progetti a scopo socio-sanitario, in favore dei comuni)</w:t>
      </w:r>
      <w:r w:rsidRPr="00F10358">
        <w:rPr>
          <w:rFonts w:ascii="Verdana" w:hAnsi="Verdana"/>
          <w:color w:val="000000" w:themeColor="text1"/>
          <w:sz w:val="20"/>
          <w:szCs w:val="20"/>
        </w:rPr>
        <w:t>, nella fase di avviamento delle farmacie</w:t>
      </w:r>
      <w:r w:rsidRPr="004753CD">
        <w:rPr>
          <w:rFonts w:ascii="Verdana" w:hAnsi="Verdana"/>
          <w:color w:val="000000" w:themeColor="text1"/>
          <w:sz w:val="20"/>
          <w:szCs w:val="20"/>
        </w:rPr>
        <w:t>.</w:t>
      </w:r>
      <w:r w:rsidRPr="00F10358">
        <w:rPr>
          <w:rFonts w:ascii="Verdana" w:hAnsi="Verdana"/>
          <w:color w:val="000000" w:themeColor="text1"/>
          <w:sz w:val="20"/>
          <w:szCs w:val="20"/>
        </w:rPr>
        <w:t xml:space="preserve"> Segnatamente si conveniva, temporaneamente, la corresponsione di un maggiore canone complessivo di concessione fisso secondo il seguente rapporto: € 1.500,00 iva inclusa (+ aggiornamenti ISTAT) x 12 (mensilità) x (numero di farmacie gestite ed effettivamente funzionanti).</w:t>
      </w:r>
    </w:p>
    <w:p w:rsidR="00264DCB" w:rsidRPr="00F10358" w:rsidRDefault="000E7F3D">
      <w:pPr>
        <w:shd w:val="clear" w:color="auto" w:fill="FEFFFF"/>
        <w:spacing w:line="360" w:lineRule="auto"/>
        <w:ind w:firstLine="354"/>
        <w:jc w:val="both"/>
        <w:rPr>
          <w:rFonts w:ascii="Verdana" w:eastAsia="Verdana" w:hAnsi="Verdana" w:cs="Verdana"/>
          <w:color w:val="000000" w:themeColor="text1"/>
          <w:sz w:val="20"/>
          <w:szCs w:val="20"/>
          <w:shd w:val="clear" w:color="auto" w:fill="FFFF00"/>
        </w:rPr>
      </w:pPr>
      <w:r w:rsidRPr="00F10358">
        <w:rPr>
          <w:rFonts w:ascii="Verdana" w:hAnsi="Verdana"/>
          <w:color w:val="000000" w:themeColor="text1"/>
          <w:sz w:val="20"/>
          <w:szCs w:val="20"/>
        </w:rPr>
        <w:t xml:space="preserve">Peraltro, al fine di assicurare un </w:t>
      </w:r>
      <w:r w:rsidRPr="00F10358">
        <w:rPr>
          <w:rFonts w:ascii="Verdana" w:hAnsi="Verdana"/>
          <w:bCs/>
          <w:color w:val="000000" w:themeColor="text1"/>
          <w:sz w:val="20"/>
          <w:szCs w:val="20"/>
          <w:u w:val="single"/>
        </w:rPr>
        <w:t>introito minimo onnicomprensivo al Consorzio C.I.S.S.</w:t>
      </w:r>
      <w:r w:rsidRPr="00F10358">
        <w:rPr>
          <w:rFonts w:ascii="Verdana" w:hAnsi="Verdana"/>
          <w:color w:val="000000" w:themeColor="text1"/>
          <w:sz w:val="20"/>
          <w:szCs w:val="20"/>
          <w:u w:val="single"/>
        </w:rPr>
        <w:t xml:space="preserve"> </w:t>
      </w:r>
      <w:r w:rsidRPr="00F10358">
        <w:rPr>
          <w:rFonts w:ascii="Verdana" w:hAnsi="Verdana"/>
          <w:color w:val="000000" w:themeColor="text1"/>
          <w:sz w:val="20"/>
          <w:szCs w:val="20"/>
        </w:rPr>
        <w:t>per garantire lo svolgimento dell’attività social</w:t>
      </w:r>
      <w:r w:rsidR="007F5EA4" w:rsidRPr="00F10358">
        <w:rPr>
          <w:rFonts w:ascii="Verdana" w:hAnsi="Verdana"/>
          <w:color w:val="000000" w:themeColor="text1"/>
          <w:sz w:val="20"/>
          <w:szCs w:val="20"/>
        </w:rPr>
        <w:t>e</w:t>
      </w:r>
      <w:r w:rsidRPr="00F10358">
        <w:rPr>
          <w:rFonts w:ascii="Verdana" w:hAnsi="Verdana"/>
          <w:color w:val="000000" w:themeColor="text1"/>
          <w:sz w:val="20"/>
          <w:szCs w:val="20"/>
        </w:rPr>
        <w:t xml:space="preserve">, SOCIGESS S.p.A. si è impegnata a corrispondere complessivamente al Consorzio C.I.S.S., </w:t>
      </w:r>
      <w:r w:rsidR="00C42591" w:rsidRPr="00F10358">
        <w:rPr>
          <w:rFonts w:ascii="Verdana" w:hAnsi="Verdana"/>
          <w:color w:val="000000" w:themeColor="text1"/>
          <w:sz w:val="20"/>
          <w:szCs w:val="20"/>
        </w:rPr>
        <w:t>i</w:t>
      </w:r>
      <w:r w:rsidR="00C42591" w:rsidRPr="00F10358">
        <w:rPr>
          <w:rFonts w:ascii="Verdana" w:hAnsi="Verdana"/>
          <w:color w:val="000000" w:themeColor="text1"/>
          <w:sz w:val="20"/>
          <w:szCs w:val="20"/>
          <w:u w:val="single"/>
        </w:rPr>
        <w:t>nclus</w:t>
      </w:r>
      <w:r w:rsidR="00C42591">
        <w:rPr>
          <w:rFonts w:ascii="Verdana" w:hAnsi="Verdana"/>
          <w:color w:val="000000" w:themeColor="text1"/>
          <w:sz w:val="20"/>
          <w:szCs w:val="20"/>
          <w:u w:val="single"/>
        </w:rPr>
        <w:t>i</w:t>
      </w:r>
      <w:r w:rsidR="00C42591" w:rsidRPr="00F10358">
        <w:rPr>
          <w:rFonts w:ascii="Verdana" w:hAnsi="Verdana"/>
          <w:color w:val="000000" w:themeColor="text1"/>
          <w:sz w:val="20"/>
          <w:szCs w:val="20"/>
          <w:u w:val="single"/>
        </w:rPr>
        <w:t xml:space="preserve"> </w:t>
      </w:r>
      <w:r w:rsidRPr="00F10358">
        <w:rPr>
          <w:rFonts w:ascii="Verdana" w:hAnsi="Verdana"/>
          <w:color w:val="000000" w:themeColor="text1"/>
          <w:sz w:val="20"/>
          <w:szCs w:val="20"/>
          <w:u w:val="single"/>
        </w:rPr>
        <w:t>gli eventuali utili da distribuire pro quota da parte di IN.CO.FARMA S.p.A</w:t>
      </w:r>
      <w:r w:rsidRPr="00F10358">
        <w:rPr>
          <w:rFonts w:ascii="Verdana" w:hAnsi="Verdana"/>
          <w:color w:val="000000" w:themeColor="text1"/>
          <w:sz w:val="20"/>
          <w:szCs w:val="20"/>
        </w:rPr>
        <w:t>.</w:t>
      </w:r>
      <w:r w:rsidR="005F337C" w:rsidRPr="00F10358">
        <w:rPr>
          <w:rFonts w:ascii="Verdana" w:hAnsi="Verdana"/>
          <w:color w:val="000000" w:themeColor="text1"/>
          <w:sz w:val="20"/>
          <w:szCs w:val="20"/>
        </w:rPr>
        <w:t xml:space="preserve"> (salvo quanto di seguito </w:t>
      </w:r>
      <w:r w:rsidR="00C7671B" w:rsidRPr="00F10358">
        <w:rPr>
          <w:rFonts w:ascii="Verdana" w:hAnsi="Verdana"/>
          <w:color w:val="000000" w:themeColor="text1"/>
          <w:sz w:val="20"/>
          <w:szCs w:val="20"/>
        </w:rPr>
        <w:t>precisato</w:t>
      </w:r>
      <w:r w:rsidR="005F337C" w:rsidRPr="00F10358">
        <w:rPr>
          <w:rFonts w:ascii="Verdana" w:hAnsi="Verdana"/>
          <w:color w:val="000000" w:themeColor="text1"/>
          <w:sz w:val="20"/>
          <w:szCs w:val="20"/>
        </w:rPr>
        <w:t>)</w:t>
      </w:r>
      <w:r w:rsidRPr="00F10358">
        <w:rPr>
          <w:rFonts w:ascii="Verdana" w:hAnsi="Verdana"/>
          <w:color w:val="000000" w:themeColor="text1"/>
          <w:sz w:val="20"/>
          <w:szCs w:val="20"/>
        </w:rPr>
        <w:t>, l’importo pari a:</w:t>
      </w:r>
    </w:p>
    <w:p w:rsidR="00264DCB" w:rsidRPr="00F10358" w:rsidRDefault="000E7F3D" w:rsidP="005F425B">
      <w:pPr>
        <w:numPr>
          <w:ilvl w:val="0"/>
          <w:numId w:val="14"/>
        </w:numPr>
        <w:shd w:val="clear" w:color="auto" w:fill="FEFFFF"/>
        <w:tabs>
          <w:tab w:val="left" w:pos="993"/>
        </w:tabs>
        <w:spacing w:line="360" w:lineRule="auto"/>
        <w:ind w:left="426" w:hanging="284"/>
        <w:jc w:val="both"/>
        <w:rPr>
          <w:rStyle w:val="Numeropagina"/>
          <w:rFonts w:ascii="Verdana" w:eastAsia="Verdana" w:hAnsi="Verdana" w:cs="Verdana"/>
          <w:color w:val="000000" w:themeColor="text1"/>
          <w:sz w:val="20"/>
          <w:szCs w:val="20"/>
        </w:rPr>
      </w:pPr>
      <w:r w:rsidRPr="00F10358">
        <w:rPr>
          <w:rStyle w:val="Numeropagina"/>
          <w:rFonts w:ascii="Verdana" w:hAnsi="Verdana"/>
          <w:color w:val="000000" w:themeColor="text1"/>
          <w:sz w:val="20"/>
          <w:szCs w:val="20"/>
        </w:rPr>
        <w:t xml:space="preserve">€ 140.000,00 iva inclusa per l’anno 2007, condizionato </w:t>
      </w:r>
      <w:r w:rsidR="00816852" w:rsidRPr="00F10358">
        <w:rPr>
          <w:rStyle w:val="Numeropagina"/>
          <w:rFonts w:ascii="Verdana" w:hAnsi="Verdana"/>
          <w:color w:val="000000" w:themeColor="text1"/>
          <w:sz w:val="20"/>
          <w:szCs w:val="20"/>
        </w:rPr>
        <w:t xml:space="preserve">all’apertura </w:t>
      </w:r>
      <w:r w:rsidRPr="00F10358">
        <w:rPr>
          <w:rStyle w:val="Numeropagina"/>
          <w:rFonts w:ascii="Verdana" w:hAnsi="Verdana"/>
          <w:color w:val="000000" w:themeColor="text1"/>
          <w:sz w:val="20"/>
          <w:szCs w:val="20"/>
        </w:rPr>
        <w:t>di un minimo di n.</w:t>
      </w:r>
      <w:r w:rsidR="00371432" w:rsidRPr="00F10358">
        <w:rPr>
          <w:rStyle w:val="Numeropagina"/>
          <w:rFonts w:ascii="Verdana" w:hAnsi="Verdana"/>
          <w:color w:val="000000" w:themeColor="text1"/>
          <w:sz w:val="20"/>
          <w:szCs w:val="20"/>
        </w:rPr>
        <w:t xml:space="preserve"> </w:t>
      </w:r>
      <w:r w:rsidRPr="00F10358">
        <w:rPr>
          <w:rStyle w:val="Numeropagina"/>
          <w:rFonts w:ascii="Verdana" w:hAnsi="Verdana"/>
          <w:color w:val="000000" w:themeColor="text1"/>
          <w:sz w:val="20"/>
          <w:szCs w:val="20"/>
        </w:rPr>
        <w:t>6 farmacie (in luogo di € 108.000</w:t>
      </w:r>
      <w:r w:rsidR="00175470" w:rsidRPr="00F10358">
        <w:rPr>
          <w:rStyle w:val="Numeropagina"/>
          <w:rFonts w:ascii="Verdana" w:hAnsi="Verdana"/>
          <w:color w:val="000000" w:themeColor="text1"/>
          <w:sz w:val="20"/>
          <w:szCs w:val="20"/>
        </w:rPr>
        <w:t>,00</w:t>
      </w:r>
      <w:r w:rsidR="00F60694" w:rsidRPr="00F10358">
        <w:rPr>
          <w:rStyle w:val="Numeropagina"/>
          <w:rFonts w:ascii="Verdana" w:hAnsi="Verdana"/>
          <w:color w:val="000000" w:themeColor="text1"/>
          <w:sz w:val="20"/>
          <w:szCs w:val="20"/>
        </w:rPr>
        <w:t xml:space="preserve">, calcolando il canone con i criteri </w:t>
      </w:r>
      <w:r w:rsidR="006D0B76" w:rsidRPr="00F10358">
        <w:rPr>
          <w:rStyle w:val="Numeropagina"/>
          <w:rFonts w:ascii="Verdana" w:hAnsi="Verdana"/>
          <w:color w:val="000000" w:themeColor="text1"/>
          <w:sz w:val="20"/>
          <w:szCs w:val="20"/>
        </w:rPr>
        <w:t>originari</w:t>
      </w:r>
      <w:r w:rsidRPr="00F10358">
        <w:rPr>
          <w:rStyle w:val="Numeropagina"/>
          <w:rFonts w:ascii="Verdana" w:hAnsi="Verdana"/>
          <w:color w:val="000000" w:themeColor="text1"/>
          <w:sz w:val="20"/>
          <w:szCs w:val="20"/>
        </w:rPr>
        <w:t xml:space="preserve">); </w:t>
      </w:r>
    </w:p>
    <w:p w:rsidR="00264DCB" w:rsidRPr="00F10358" w:rsidRDefault="000E7F3D" w:rsidP="005F425B">
      <w:pPr>
        <w:numPr>
          <w:ilvl w:val="0"/>
          <w:numId w:val="14"/>
        </w:numPr>
        <w:shd w:val="clear" w:color="auto" w:fill="FEFFFF"/>
        <w:tabs>
          <w:tab w:val="left" w:pos="993"/>
        </w:tabs>
        <w:spacing w:line="360" w:lineRule="auto"/>
        <w:ind w:left="426" w:hanging="284"/>
        <w:jc w:val="both"/>
        <w:rPr>
          <w:rStyle w:val="Numeropagina"/>
          <w:rFonts w:ascii="Verdana" w:eastAsia="Verdana" w:hAnsi="Verdana" w:cs="Verdana"/>
          <w:color w:val="000000" w:themeColor="text1"/>
          <w:sz w:val="20"/>
          <w:szCs w:val="20"/>
        </w:rPr>
      </w:pPr>
      <w:r w:rsidRPr="00F10358">
        <w:rPr>
          <w:rStyle w:val="Numeropagina"/>
          <w:rFonts w:ascii="Verdana" w:hAnsi="Verdana"/>
          <w:color w:val="000000" w:themeColor="text1"/>
          <w:sz w:val="20"/>
          <w:szCs w:val="20"/>
        </w:rPr>
        <w:t>€ 280.000,00 iva inclusa per l’anno 2008, condizionato all’apertur</w:t>
      </w:r>
      <w:r w:rsidR="007F5EA4" w:rsidRPr="00F10358">
        <w:rPr>
          <w:rStyle w:val="Numeropagina"/>
          <w:rFonts w:ascii="Verdana" w:hAnsi="Verdana"/>
          <w:color w:val="000000" w:themeColor="text1"/>
          <w:sz w:val="20"/>
          <w:szCs w:val="20"/>
        </w:rPr>
        <w:t>a</w:t>
      </w:r>
      <w:r w:rsidRPr="00F10358">
        <w:rPr>
          <w:rStyle w:val="Numeropagina"/>
          <w:rFonts w:ascii="Verdana" w:hAnsi="Verdana"/>
          <w:color w:val="000000" w:themeColor="text1"/>
          <w:sz w:val="20"/>
          <w:szCs w:val="20"/>
        </w:rPr>
        <w:t xml:space="preserve"> di un minimo di 10 (dieci) farmacie (in luogo di € 180.000</w:t>
      </w:r>
      <w:r w:rsidR="00CF0857" w:rsidRPr="00F10358">
        <w:rPr>
          <w:rStyle w:val="Numeropagina"/>
          <w:rFonts w:ascii="Verdana" w:hAnsi="Verdana"/>
          <w:color w:val="000000" w:themeColor="text1"/>
          <w:sz w:val="20"/>
          <w:szCs w:val="20"/>
        </w:rPr>
        <w:t>,</w:t>
      </w:r>
      <w:r w:rsidR="007F5EA4" w:rsidRPr="00F10358">
        <w:rPr>
          <w:rStyle w:val="Numeropagina"/>
          <w:rFonts w:ascii="Verdana" w:hAnsi="Verdana"/>
          <w:color w:val="000000" w:themeColor="text1"/>
          <w:sz w:val="20"/>
          <w:szCs w:val="20"/>
        </w:rPr>
        <w:t>00</w:t>
      </w:r>
      <w:r w:rsidR="00CF0857" w:rsidRPr="00F10358">
        <w:rPr>
          <w:rStyle w:val="Numeropagina"/>
          <w:rFonts w:ascii="Verdana" w:hAnsi="Verdana"/>
          <w:color w:val="000000" w:themeColor="text1"/>
          <w:sz w:val="20"/>
          <w:szCs w:val="20"/>
        </w:rPr>
        <w:t xml:space="preserve"> calcolando il canone con i criteri originari</w:t>
      </w:r>
      <w:r w:rsidRPr="00F10358">
        <w:rPr>
          <w:rStyle w:val="Numeropagina"/>
          <w:rFonts w:ascii="Verdana" w:hAnsi="Verdana"/>
          <w:color w:val="000000" w:themeColor="text1"/>
          <w:sz w:val="20"/>
          <w:szCs w:val="20"/>
        </w:rPr>
        <w:t xml:space="preserve">); </w:t>
      </w:r>
    </w:p>
    <w:p w:rsidR="00264DCB" w:rsidRPr="00F10358" w:rsidRDefault="000E7F3D" w:rsidP="005F425B">
      <w:pPr>
        <w:numPr>
          <w:ilvl w:val="0"/>
          <w:numId w:val="14"/>
        </w:numPr>
        <w:shd w:val="clear" w:color="auto" w:fill="FEFFFF"/>
        <w:tabs>
          <w:tab w:val="left" w:pos="993"/>
        </w:tabs>
        <w:spacing w:line="360" w:lineRule="auto"/>
        <w:ind w:left="426" w:hanging="284"/>
        <w:jc w:val="both"/>
        <w:rPr>
          <w:rStyle w:val="Numeropagina"/>
          <w:rFonts w:ascii="Verdana" w:eastAsia="Verdana" w:hAnsi="Verdana" w:cs="Verdana"/>
          <w:color w:val="000000" w:themeColor="text1"/>
          <w:sz w:val="20"/>
          <w:szCs w:val="20"/>
        </w:rPr>
      </w:pPr>
      <w:r w:rsidRPr="00F10358">
        <w:rPr>
          <w:rStyle w:val="Numeropagina"/>
          <w:rFonts w:ascii="Verdana" w:hAnsi="Verdana"/>
          <w:color w:val="000000" w:themeColor="text1"/>
          <w:sz w:val="20"/>
          <w:szCs w:val="20"/>
        </w:rPr>
        <w:t>€ 400.000,00 iva inclusa per l’anno 2009 (anno a regime), condizionato all’apertur</w:t>
      </w:r>
      <w:r w:rsidR="007F5EA4" w:rsidRPr="00F10358">
        <w:rPr>
          <w:rStyle w:val="Numeropagina"/>
          <w:rFonts w:ascii="Verdana" w:hAnsi="Verdana"/>
          <w:color w:val="000000" w:themeColor="text1"/>
          <w:sz w:val="20"/>
          <w:szCs w:val="20"/>
        </w:rPr>
        <w:t>a</w:t>
      </w:r>
      <w:r w:rsidRPr="00F10358">
        <w:rPr>
          <w:rStyle w:val="Numeropagina"/>
          <w:rFonts w:ascii="Verdana" w:hAnsi="Verdana"/>
          <w:color w:val="000000" w:themeColor="text1"/>
          <w:sz w:val="20"/>
          <w:szCs w:val="20"/>
        </w:rPr>
        <w:t xml:space="preserve"> di un minimo di 13 (tredici) farmacie (in luogo di € 234.000,00</w:t>
      </w:r>
      <w:r w:rsidR="00CF0857" w:rsidRPr="00F10358">
        <w:rPr>
          <w:rStyle w:val="Numeropagina"/>
          <w:rFonts w:ascii="Verdana" w:hAnsi="Verdana"/>
          <w:color w:val="000000" w:themeColor="text1"/>
          <w:sz w:val="20"/>
          <w:szCs w:val="20"/>
        </w:rPr>
        <w:t>, calcolando il canone con i criteri originari</w:t>
      </w:r>
      <w:r w:rsidRPr="00F10358">
        <w:rPr>
          <w:rStyle w:val="Numeropagina"/>
          <w:rFonts w:ascii="Verdana" w:hAnsi="Verdana"/>
          <w:color w:val="000000" w:themeColor="text1"/>
          <w:sz w:val="20"/>
          <w:szCs w:val="20"/>
        </w:rPr>
        <w:t>)</w:t>
      </w:r>
      <w:r w:rsidR="007F5EA4" w:rsidRPr="00F10358">
        <w:rPr>
          <w:rStyle w:val="Numeropagina"/>
          <w:rFonts w:ascii="Verdana" w:hAnsi="Verdana"/>
          <w:color w:val="000000" w:themeColor="text1"/>
          <w:sz w:val="20"/>
          <w:szCs w:val="20"/>
        </w:rPr>
        <w:t>.</w:t>
      </w:r>
      <w:r w:rsidRPr="00F10358">
        <w:rPr>
          <w:rStyle w:val="Numeropagina"/>
          <w:rFonts w:ascii="Verdana" w:hAnsi="Verdana"/>
          <w:color w:val="000000" w:themeColor="text1"/>
          <w:sz w:val="20"/>
          <w:szCs w:val="20"/>
        </w:rPr>
        <w:t xml:space="preserve"> </w:t>
      </w:r>
    </w:p>
    <w:p w:rsidR="00264DCB" w:rsidRPr="00F10358" w:rsidRDefault="000E7F3D">
      <w:pPr>
        <w:shd w:val="clear" w:color="auto" w:fill="FEFFFF"/>
        <w:spacing w:line="360" w:lineRule="auto"/>
        <w:ind w:firstLine="354"/>
        <w:jc w:val="both"/>
        <w:rPr>
          <w:rFonts w:ascii="Verdana" w:eastAsia="Verdana" w:hAnsi="Verdana" w:cs="Verdana"/>
          <w:color w:val="000000" w:themeColor="text1"/>
          <w:sz w:val="20"/>
          <w:szCs w:val="20"/>
          <w:shd w:val="clear" w:color="auto" w:fill="FFFF00"/>
        </w:rPr>
      </w:pPr>
      <w:r w:rsidRPr="00F10358">
        <w:rPr>
          <w:rFonts w:ascii="Verdana" w:hAnsi="Verdana"/>
          <w:bCs/>
          <w:color w:val="000000" w:themeColor="text1"/>
          <w:sz w:val="20"/>
          <w:szCs w:val="20"/>
        </w:rPr>
        <w:t xml:space="preserve">Dalla rappresentazione dei flussi finanziari di cui alla Tabella </w:t>
      </w:r>
      <w:r w:rsidR="008B6D93" w:rsidRPr="00F10358">
        <w:rPr>
          <w:rFonts w:ascii="Verdana" w:hAnsi="Verdana"/>
          <w:bCs/>
          <w:color w:val="000000" w:themeColor="text1"/>
          <w:sz w:val="20"/>
          <w:szCs w:val="20"/>
        </w:rPr>
        <w:t>D</w:t>
      </w:r>
      <w:r w:rsidRPr="00F10358">
        <w:rPr>
          <w:rFonts w:ascii="Verdana" w:hAnsi="Verdana"/>
          <w:bCs/>
          <w:color w:val="000000" w:themeColor="text1"/>
          <w:sz w:val="20"/>
          <w:szCs w:val="20"/>
        </w:rPr>
        <w:t xml:space="preserve">, </w:t>
      </w:r>
      <w:r w:rsidR="003818BC" w:rsidRPr="00F10358">
        <w:rPr>
          <w:rFonts w:ascii="Verdana" w:hAnsi="Verdana"/>
          <w:bCs/>
          <w:color w:val="000000" w:themeColor="text1"/>
          <w:sz w:val="20"/>
          <w:szCs w:val="20"/>
        </w:rPr>
        <w:t>pertanto</w:t>
      </w:r>
      <w:r w:rsidRPr="00F10358">
        <w:rPr>
          <w:rFonts w:ascii="Verdana" w:hAnsi="Verdana"/>
          <w:bCs/>
          <w:color w:val="000000" w:themeColor="text1"/>
          <w:sz w:val="20"/>
          <w:szCs w:val="20"/>
        </w:rPr>
        <w:t>, si evidenzia che il contributo minimo assorbe completamente</w:t>
      </w:r>
      <w:r w:rsidR="003818BC" w:rsidRPr="00F10358">
        <w:rPr>
          <w:rFonts w:ascii="Verdana" w:hAnsi="Verdana"/>
          <w:bCs/>
          <w:color w:val="000000" w:themeColor="text1"/>
          <w:sz w:val="20"/>
          <w:szCs w:val="20"/>
        </w:rPr>
        <w:t xml:space="preserve"> </w:t>
      </w:r>
      <w:r w:rsidRPr="00F10358">
        <w:rPr>
          <w:rFonts w:ascii="Verdana" w:hAnsi="Verdana"/>
          <w:bCs/>
          <w:color w:val="000000" w:themeColor="text1"/>
          <w:sz w:val="20"/>
          <w:szCs w:val="20"/>
        </w:rPr>
        <w:t>anche il canone mensile per le farmacie</w:t>
      </w:r>
      <w:r w:rsidRPr="00F10358">
        <w:rPr>
          <w:rStyle w:val="Numeropagina"/>
          <w:rFonts w:ascii="Verdana" w:hAnsi="Verdana"/>
          <w:color w:val="000000" w:themeColor="text1"/>
          <w:sz w:val="20"/>
          <w:szCs w:val="20"/>
        </w:rPr>
        <w:t xml:space="preserve">. </w:t>
      </w:r>
    </w:p>
    <w:p w:rsidR="00264DCB" w:rsidRPr="00F10358" w:rsidRDefault="000E7F3D">
      <w:pPr>
        <w:shd w:val="clear" w:color="auto" w:fill="FEFFFF"/>
        <w:spacing w:line="360" w:lineRule="auto"/>
        <w:ind w:firstLine="354"/>
        <w:jc w:val="both"/>
        <w:rPr>
          <w:rStyle w:val="Numeropagina"/>
          <w:rFonts w:ascii="Verdana" w:eastAsia="Verdana" w:hAnsi="Verdana" w:cs="Verdana"/>
          <w:color w:val="000000" w:themeColor="text1"/>
          <w:sz w:val="20"/>
          <w:szCs w:val="20"/>
        </w:rPr>
      </w:pPr>
      <w:r w:rsidRPr="00F10358">
        <w:rPr>
          <w:rStyle w:val="Numeropagina"/>
          <w:rFonts w:ascii="Verdana" w:hAnsi="Verdana"/>
          <w:color w:val="000000" w:themeColor="text1"/>
          <w:sz w:val="20"/>
          <w:szCs w:val="20"/>
        </w:rPr>
        <w:t>Emergeva quindi, nel quinquennio 2007-</w:t>
      </w:r>
      <w:r w:rsidR="009B594A" w:rsidRPr="00F10358">
        <w:rPr>
          <w:rStyle w:val="Numeropagina"/>
          <w:rFonts w:ascii="Verdana" w:hAnsi="Verdana"/>
          <w:color w:val="000000" w:themeColor="text1"/>
          <w:sz w:val="20"/>
          <w:szCs w:val="20"/>
        </w:rPr>
        <w:t>2011</w:t>
      </w:r>
      <w:r w:rsidRPr="00F10358">
        <w:rPr>
          <w:rStyle w:val="Numeropagina"/>
          <w:rFonts w:ascii="Verdana" w:hAnsi="Verdana"/>
          <w:color w:val="000000" w:themeColor="text1"/>
          <w:sz w:val="20"/>
          <w:szCs w:val="20"/>
        </w:rPr>
        <w:t xml:space="preserve">, una nuova struttura contributiva di </w:t>
      </w:r>
      <w:r w:rsidR="003B4079">
        <w:rPr>
          <w:rStyle w:val="Numeropagina"/>
          <w:rFonts w:ascii="Verdana" w:hAnsi="Verdana"/>
          <w:color w:val="000000" w:themeColor="text1"/>
          <w:sz w:val="20"/>
          <w:szCs w:val="20"/>
        </w:rPr>
        <w:t>INCOFARMA</w:t>
      </w:r>
      <w:r w:rsidRPr="00F10358">
        <w:rPr>
          <w:rStyle w:val="Numeropagina"/>
          <w:rFonts w:ascii="Verdana" w:hAnsi="Verdana"/>
          <w:color w:val="000000" w:themeColor="text1"/>
          <w:sz w:val="20"/>
          <w:szCs w:val="20"/>
        </w:rPr>
        <w:t xml:space="preserve"> e socio privato verso CISS: </w:t>
      </w:r>
      <w:r w:rsidRPr="00F10358">
        <w:rPr>
          <w:rStyle w:val="Numeropagina"/>
          <w:rFonts w:ascii="Verdana" w:hAnsi="Verdana"/>
          <w:color w:val="000000" w:themeColor="text1"/>
          <w:sz w:val="20"/>
          <w:szCs w:val="20"/>
          <w:u w:val="single"/>
        </w:rPr>
        <w:t>1) un “contributo minimo” omnicomprensivo</w:t>
      </w:r>
      <w:r w:rsidRPr="00F10358">
        <w:rPr>
          <w:rStyle w:val="Numeropagina"/>
          <w:rFonts w:ascii="Verdana" w:hAnsi="Verdana"/>
          <w:color w:val="000000" w:themeColor="text1"/>
          <w:sz w:val="20"/>
          <w:szCs w:val="20"/>
        </w:rPr>
        <w:t>, con funzione “</w:t>
      </w:r>
      <w:proofErr w:type="spellStart"/>
      <w:r w:rsidRPr="00F10358">
        <w:rPr>
          <w:rStyle w:val="Numeropagina"/>
          <w:rFonts w:ascii="Verdana" w:hAnsi="Verdana"/>
          <w:color w:val="000000" w:themeColor="text1"/>
          <w:sz w:val="20"/>
          <w:szCs w:val="20"/>
        </w:rPr>
        <w:t>floor</w:t>
      </w:r>
      <w:proofErr w:type="spellEnd"/>
      <w:r w:rsidRPr="00F10358">
        <w:rPr>
          <w:rStyle w:val="Numeropagina"/>
          <w:rFonts w:ascii="Verdana" w:hAnsi="Verdana"/>
          <w:color w:val="000000" w:themeColor="text1"/>
          <w:sz w:val="20"/>
          <w:szCs w:val="20"/>
        </w:rPr>
        <w:t xml:space="preserve">” (erogato anche in caso di mancata distribuzione di utili direttamente dal socio privato e non dalla </w:t>
      </w:r>
      <w:r w:rsidR="003B4079">
        <w:rPr>
          <w:rStyle w:val="Numeropagina"/>
          <w:rFonts w:ascii="Verdana" w:hAnsi="Verdana"/>
          <w:color w:val="000000" w:themeColor="text1"/>
          <w:sz w:val="20"/>
          <w:szCs w:val="20"/>
        </w:rPr>
        <w:t>INCOFARMA</w:t>
      </w:r>
      <w:r w:rsidRPr="00F10358">
        <w:rPr>
          <w:rStyle w:val="Numeropagina"/>
          <w:rFonts w:ascii="Verdana" w:hAnsi="Verdana"/>
          <w:color w:val="000000" w:themeColor="text1"/>
          <w:sz w:val="20"/>
          <w:szCs w:val="20"/>
        </w:rPr>
        <w:t xml:space="preserve">, con abbattimento del rischio d’impresa, commisurato al numero di sedi farmaceutiche conferite in gestione. Esso assorbe </w:t>
      </w:r>
      <w:r w:rsidR="00371432" w:rsidRPr="00F10358">
        <w:rPr>
          <w:rStyle w:val="Numeropagina"/>
          <w:rFonts w:ascii="Verdana" w:hAnsi="Verdana"/>
          <w:color w:val="000000" w:themeColor="text1"/>
          <w:sz w:val="20"/>
          <w:szCs w:val="20"/>
        </w:rPr>
        <w:t xml:space="preserve">il </w:t>
      </w:r>
      <w:r w:rsidRPr="00F10358">
        <w:rPr>
          <w:rStyle w:val="Numeropagina"/>
          <w:rFonts w:ascii="Verdana" w:hAnsi="Verdana"/>
          <w:color w:val="000000" w:themeColor="text1"/>
          <w:sz w:val="20"/>
          <w:szCs w:val="20"/>
        </w:rPr>
        <w:t xml:space="preserve">canone per </w:t>
      </w:r>
      <w:r w:rsidR="00371432" w:rsidRPr="00F10358">
        <w:rPr>
          <w:rStyle w:val="Numeropagina"/>
          <w:rFonts w:ascii="Verdana" w:hAnsi="Verdana"/>
          <w:color w:val="000000" w:themeColor="text1"/>
          <w:sz w:val="20"/>
          <w:szCs w:val="20"/>
        </w:rPr>
        <w:t xml:space="preserve">le </w:t>
      </w:r>
      <w:r w:rsidRPr="00F10358">
        <w:rPr>
          <w:rStyle w:val="Numeropagina"/>
          <w:rFonts w:ascii="Verdana" w:hAnsi="Verdana"/>
          <w:color w:val="000000" w:themeColor="text1"/>
          <w:sz w:val="20"/>
          <w:szCs w:val="20"/>
        </w:rPr>
        <w:t>singole farmacie e dividendo</w:t>
      </w:r>
      <w:r w:rsidR="009B594A" w:rsidRPr="00F10358">
        <w:rPr>
          <w:rStyle w:val="Numeropagina"/>
          <w:rFonts w:ascii="Verdana" w:hAnsi="Verdana"/>
          <w:color w:val="000000" w:themeColor="text1"/>
          <w:sz w:val="20"/>
          <w:szCs w:val="20"/>
        </w:rPr>
        <w:t>)</w:t>
      </w:r>
      <w:r w:rsidRPr="00F10358">
        <w:rPr>
          <w:rStyle w:val="Numeropagina"/>
          <w:rFonts w:ascii="Verdana" w:hAnsi="Verdana"/>
          <w:color w:val="000000" w:themeColor="text1"/>
          <w:sz w:val="20"/>
          <w:szCs w:val="20"/>
        </w:rPr>
        <w:t xml:space="preserve">; </w:t>
      </w:r>
      <w:r w:rsidRPr="00F10358">
        <w:rPr>
          <w:rStyle w:val="Numeropagina"/>
          <w:rFonts w:ascii="Verdana" w:hAnsi="Verdana"/>
          <w:color w:val="000000" w:themeColor="text1"/>
          <w:sz w:val="20"/>
          <w:szCs w:val="20"/>
          <w:u w:val="single"/>
        </w:rPr>
        <w:t>2) un canone di concessione</w:t>
      </w:r>
      <w:r w:rsidRPr="00F10358">
        <w:rPr>
          <w:rStyle w:val="Numeropagina"/>
          <w:rFonts w:ascii="Verdana" w:hAnsi="Verdana"/>
          <w:color w:val="000000" w:themeColor="text1"/>
          <w:sz w:val="20"/>
          <w:szCs w:val="20"/>
        </w:rPr>
        <w:t xml:space="preserve"> pagato solo in caso </w:t>
      </w:r>
      <w:r w:rsidR="009B594A" w:rsidRPr="00F10358">
        <w:rPr>
          <w:rStyle w:val="Numeropagina"/>
          <w:rFonts w:ascii="Verdana" w:hAnsi="Verdana"/>
          <w:color w:val="000000" w:themeColor="text1"/>
          <w:sz w:val="20"/>
          <w:szCs w:val="20"/>
        </w:rPr>
        <w:t xml:space="preserve">di </w:t>
      </w:r>
      <w:r w:rsidRPr="00F10358">
        <w:rPr>
          <w:rStyle w:val="Numeropagina"/>
          <w:rFonts w:ascii="Verdana" w:hAnsi="Verdana"/>
          <w:color w:val="000000" w:themeColor="text1"/>
          <w:sz w:val="20"/>
          <w:szCs w:val="20"/>
        </w:rPr>
        <w:t>farmacie che super</w:t>
      </w:r>
      <w:r w:rsidR="00371432" w:rsidRPr="00F10358">
        <w:rPr>
          <w:rStyle w:val="Numeropagina"/>
          <w:rFonts w:ascii="Verdana" w:hAnsi="Verdana"/>
          <w:color w:val="000000" w:themeColor="text1"/>
          <w:sz w:val="20"/>
          <w:szCs w:val="20"/>
        </w:rPr>
        <w:t>i</w:t>
      </w:r>
      <w:r w:rsidRPr="00F10358">
        <w:rPr>
          <w:rStyle w:val="Numeropagina"/>
          <w:rFonts w:ascii="Verdana" w:hAnsi="Verdana"/>
          <w:color w:val="000000" w:themeColor="text1"/>
          <w:sz w:val="20"/>
          <w:szCs w:val="20"/>
        </w:rPr>
        <w:t xml:space="preserve">no lo scaglione/stock di riferimento per il contributo minimo senza raggiungere lo scaglione superiore; 3) una </w:t>
      </w:r>
      <w:r w:rsidRPr="00F10358">
        <w:rPr>
          <w:rStyle w:val="Numeropagina"/>
          <w:rFonts w:ascii="Verdana" w:hAnsi="Verdana"/>
          <w:color w:val="000000" w:themeColor="text1"/>
          <w:sz w:val="20"/>
          <w:szCs w:val="20"/>
          <w:u w:val="single"/>
        </w:rPr>
        <w:t xml:space="preserve">partecipazione agli utili, </w:t>
      </w:r>
      <w:r w:rsidR="009B594A" w:rsidRPr="00F10358">
        <w:rPr>
          <w:rStyle w:val="Numeropagina"/>
          <w:rFonts w:ascii="Verdana" w:hAnsi="Verdana"/>
          <w:color w:val="000000" w:themeColor="text1"/>
          <w:sz w:val="20"/>
          <w:szCs w:val="20"/>
          <w:u w:val="single"/>
        </w:rPr>
        <w:t xml:space="preserve">corrisposta </w:t>
      </w:r>
      <w:r w:rsidRPr="00F10358">
        <w:rPr>
          <w:rStyle w:val="Numeropagina"/>
          <w:rFonts w:ascii="Verdana" w:hAnsi="Verdana"/>
          <w:color w:val="000000" w:themeColor="text1"/>
          <w:sz w:val="20"/>
          <w:szCs w:val="20"/>
          <w:u w:val="single"/>
        </w:rPr>
        <w:t>solo nel caso in cui ecceda la misura del contributo minimo</w:t>
      </w:r>
      <w:r w:rsidRPr="00F10358">
        <w:rPr>
          <w:rStyle w:val="Numeropagina"/>
          <w:rFonts w:ascii="Verdana" w:hAnsi="Verdana"/>
          <w:color w:val="000000" w:themeColor="text1"/>
          <w:sz w:val="20"/>
          <w:szCs w:val="20"/>
        </w:rPr>
        <w:t>.</w:t>
      </w:r>
    </w:p>
    <w:p w:rsidR="00264DCB" w:rsidRPr="00F10358" w:rsidRDefault="00264DCB">
      <w:pPr>
        <w:shd w:val="clear" w:color="auto" w:fill="FEFFFF"/>
        <w:spacing w:line="360" w:lineRule="auto"/>
        <w:ind w:firstLine="354"/>
        <w:jc w:val="both"/>
        <w:rPr>
          <w:rFonts w:ascii="Verdana" w:eastAsia="Verdana" w:hAnsi="Verdana" w:cs="Verdana"/>
          <w:color w:val="000000" w:themeColor="text1"/>
          <w:sz w:val="20"/>
          <w:szCs w:val="20"/>
          <w:shd w:val="clear" w:color="auto" w:fill="FFFF00"/>
        </w:rPr>
      </w:pPr>
    </w:p>
    <w:p w:rsidR="00264DCB" w:rsidRPr="00F10358" w:rsidRDefault="008B6D93" w:rsidP="00A019EF">
      <w:pPr>
        <w:shd w:val="clear" w:color="auto" w:fill="FEFFFF"/>
        <w:spacing w:line="360" w:lineRule="auto"/>
        <w:ind w:firstLine="354"/>
        <w:jc w:val="both"/>
        <w:rPr>
          <w:rFonts w:ascii="Verdana" w:hAnsi="Verdana"/>
          <w:color w:val="000000" w:themeColor="text1"/>
          <w:sz w:val="20"/>
          <w:szCs w:val="20"/>
        </w:rPr>
      </w:pPr>
      <w:r w:rsidRPr="00F10358">
        <w:rPr>
          <w:rStyle w:val="Numeropagina"/>
          <w:rFonts w:ascii="Verdana" w:hAnsi="Verdana"/>
          <w:color w:val="000000" w:themeColor="text1"/>
          <w:sz w:val="20"/>
          <w:szCs w:val="20"/>
        </w:rPr>
        <w:t>Tabella D</w:t>
      </w:r>
      <w:r w:rsidR="00E460B7" w:rsidRPr="00F10358">
        <w:rPr>
          <w:rStyle w:val="Numeropagina"/>
          <w:rFonts w:ascii="Verdana" w:hAnsi="Verdana"/>
          <w:color w:val="000000" w:themeColor="text1"/>
          <w:sz w:val="20"/>
          <w:szCs w:val="20"/>
        </w:rPr>
        <w:t>. F</w:t>
      </w:r>
      <w:r w:rsidR="00FD70B0" w:rsidRPr="00F10358">
        <w:rPr>
          <w:rStyle w:val="Numeropagina"/>
          <w:rFonts w:ascii="Verdana" w:hAnsi="Verdana"/>
          <w:color w:val="000000" w:themeColor="text1"/>
          <w:sz w:val="20"/>
          <w:szCs w:val="20"/>
        </w:rPr>
        <w:t>onte: “Relazione sul funzionamento del CISS” a firma del Direttore generale del CISS</w:t>
      </w:r>
    </w:p>
    <w:tbl>
      <w:tblPr>
        <w:tblStyle w:val="TableNormal"/>
        <w:tblW w:w="100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88"/>
        <w:gridCol w:w="2082"/>
        <w:gridCol w:w="2100"/>
        <w:gridCol w:w="3568"/>
      </w:tblGrid>
      <w:tr w:rsidR="001D1CE8" w:rsidRPr="00F63A96" w:rsidTr="00863829">
        <w:trPr>
          <w:trHeight w:val="1352"/>
        </w:trPr>
        <w:tc>
          <w:tcPr>
            <w:tcW w:w="10038"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417" w:type="dxa"/>
            </w:tcMar>
            <w:vAlign w:val="center"/>
          </w:tcPr>
          <w:p w:rsidR="00264DCB" w:rsidRPr="00F63A96" w:rsidRDefault="000E7F3D" w:rsidP="003B4079">
            <w:pPr>
              <w:tabs>
                <w:tab w:val="left" w:pos="9072"/>
              </w:tabs>
              <w:spacing w:after="200" w:line="360" w:lineRule="auto"/>
              <w:ind w:right="337"/>
              <w:jc w:val="center"/>
              <w:rPr>
                <w:b/>
                <w:bCs/>
                <w:color w:val="000000" w:themeColor="text1"/>
                <w:sz w:val="20"/>
                <w:szCs w:val="20"/>
              </w:rPr>
            </w:pPr>
            <w:r w:rsidRPr="00F63A96">
              <w:rPr>
                <w:b/>
                <w:bCs/>
                <w:color w:val="000000" w:themeColor="text1"/>
                <w:sz w:val="20"/>
                <w:szCs w:val="20"/>
              </w:rPr>
              <w:t>TABELLA SITUAZIONE RIEPILOGATIVA CREDITI VANTATI DAL CISS NEI CONFRONTI DI SOCIGESS S.p.A. PER GLI ANNI DI COMPETENZA CANONI DAL 2007 AL 2011</w:t>
            </w:r>
          </w:p>
        </w:tc>
      </w:tr>
      <w:tr w:rsidR="001D1CE8" w:rsidRPr="00F63A96" w:rsidTr="00863829">
        <w:trPr>
          <w:trHeight w:val="9"/>
        </w:trPr>
        <w:tc>
          <w:tcPr>
            <w:tcW w:w="22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0E7F3D">
            <w:pPr>
              <w:rPr>
                <w:color w:val="000000" w:themeColor="text1"/>
              </w:rPr>
            </w:pPr>
            <w:r w:rsidRPr="00F63A96">
              <w:rPr>
                <w:color w:val="000000" w:themeColor="text1"/>
                <w:sz w:val="22"/>
                <w:szCs w:val="22"/>
              </w:rPr>
              <w:t>Anno di competenza economica canoni</w:t>
            </w:r>
          </w:p>
        </w:tc>
        <w:tc>
          <w:tcPr>
            <w:tcW w:w="20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0E7F3D">
            <w:pPr>
              <w:rPr>
                <w:color w:val="000000" w:themeColor="text1"/>
              </w:rPr>
            </w:pPr>
            <w:r w:rsidRPr="00F63A96">
              <w:rPr>
                <w:color w:val="000000" w:themeColor="text1"/>
                <w:sz w:val="22"/>
                <w:szCs w:val="22"/>
              </w:rPr>
              <w:t xml:space="preserve">Fatturato da </w:t>
            </w:r>
            <w:proofErr w:type="spellStart"/>
            <w:r w:rsidRPr="00F63A96">
              <w:rPr>
                <w:color w:val="000000" w:themeColor="text1"/>
                <w:sz w:val="22"/>
                <w:szCs w:val="22"/>
              </w:rPr>
              <w:t>Socigess</w:t>
            </w:r>
            <w:proofErr w:type="spellEnd"/>
            <w:r w:rsidR="009B594A" w:rsidRPr="00F63A96">
              <w:rPr>
                <w:color w:val="000000" w:themeColor="text1"/>
                <w:sz w:val="22"/>
                <w:szCs w:val="22"/>
              </w:rPr>
              <w:t xml:space="preserve"> </w:t>
            </w:r>
            <w:proofErr w:type="spellStart"/>
            <w:r w:rsidRPr="00F63A96">
              <w:rPr>
                <w:color w:val="000000" w:themeColor="text1"/>
                <w:sz w:val="22"/>
                <w:szCs w:val="22"/>
              </w:rPr>
              <w:t>S.p.A</w:t>
            </w:r>
            <w:proofErr w:type="spellEnd"/>
          </w:p>
        </w:tc>
        <w:tc>
          <w:tcPr>
            <w:tcW w:w="21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9B594A">
            <w:pPr>
              <w:rPr>
                <w:color w:val="000000" w:themeColor="text1"/>
              </w:rPr>
            </w:pPr>
            <w:r w:rsidRPr="00F63A96">
              <w:rPr>
                <w:color w:val="000000" w:themeColor="text1"/>
                <w:sz w:val="22"/>
                <w:szCs w:val="22"/>
              </w:rPr>
              <w:t xml:space="preserve">Versato </w:t>
            </w:r>
            <w:r w:rsidR="000E7F3D" w:rsidRPr="00F63A96">
              <w:rPr>
                <w:color w:val="000000" w:themeColor="text1"/>
                <w:sz w:val="22"/>
                <w:szCs w:val="22"/>
              </w:rPr>
              <w:t xml:space="preserve">da </w:t>
            </w:r>
            <w:proofErr w:type="spellStart"/>
            <w:r w:rsidR="000E7F3D" w:rsidRPr="00F63A96">
              <w:rPr>
                <w:rFonts w:ascii="Arial"/>
                <w:color w:val="000000" w:themeColor="text1"/>
                <w:sz w:val="18"/>
                <w:szCs w:val="18"/>
              </w:rPr>
              <w:t>Socigess</w:t>
            </w:r>
            <w:proofErr w:type="spellEnd"/>
            <w:r w:rsidRPr="00F63A96">
              <w:rPr>
                <w:rFonts w:ascii="Arial"/>
                <w:color w:val="000000" w:themeColor="text1"/>
                <w:sz w:val="18"/>
                <w:szCs w:val="18"/>
              </w:rPr>
              <w:t xml:space="preserve"> </w:t>
            </w:r>
            <w:proofErr w:type="spellStart"/>
            <w:r w:rsidR="000E7F3D" w:rsidRPr="00F63A96">
              <w:rPr>
                <w:color w:val="000000" w:themeColor="text1"/>
                <w:sz w:val="22"/>
                <w:szCs w:val="22"/>
              </w:rPr>
              <w:t>S.p.A</w:t>
            </w:r>
            <w:proofErr w:type="spellEnd"/>
            <w:r w:rsidRPr="00F63A96">
              <w:rPr>
                <w:color w:val="000000" w:themeColor="text1"/>
                <w:sz w:val="22"/>
                <w:szCs w:val="22"/>
              </w:rPr>
              <w:t xml:space="preserve"> a CISS</w:t>
            </w:r>
          </w:p>
        </w:tc>
        <w:tc>
          <w:tcPr>
            <w:tcW w:w="3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0E7F3D">
            <w:pPr>
              <w:rPr>
                <w:color w:val="000000" w:themeColor="text1"/>
              </w:rPr>
            </w:pPr>
            <w:r w:rsidRPr="00F63A96">
              <w:rPr>
                <w:color w:val="000000" w:themeColor="text1"/>
                <w:sz w:val="22"/>
                <w:szCs w:val="22"/>
              </w:rPr>
              <w:t xml:space="preserve">Credito vantato dal C.I.SS confronti di </w:t>
            </w:r>
            <w:proofErr w:type="spellStart"/>
            <w:r w:rsidRPr="00F63A96">
              <w:rPr>
                <w:color w:val="000000" w:themeColor="text1"/>
                <w:sz w:val="22"/>
                <w:szCs w:val="22"/>
              </w:rPr>
              <w:t>Socigess</w:t>
            </w:r>
            <w:proofErr w:type="spellEnd"/>
            <w:r w:rsidRPr="00F63A96">
              <w:rPr>
                <w:color w:val="000000" w:themeColor="text1"/>
                <w:sz w:val="22"/>
                <w:szCs w:val="22"/>
              </w:rPr>
              <w:t xml:space="preserve"> S.p.A.</w:t>
            </w:r>
          </w:p>
        </w:tc>
      </w:tr>
      <w:tr w:rsidR="001D1CE8" w:rsidRPr="00F63A96" w:rsidTr="00863829">
        <w:trPr>
          <w:trHeight w:val="230"/>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color w:val="000000" w:themeColor="text1"/>
                <w:sz w:val="22"/>
                <w:szCs w:val="22"/>
              </w:rPr>
              <w:t>2007</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140.000,00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140.000,00</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 xml:space="preserve">0    </w:t>
            </w:r>
          </w:p>
        </w:tc>
      </w:tr>
      <w:tr w:rsidR="001D1CE8" w:rsidRPr="00F63A96" w:rsidTr="00863829">
        <w:trPr>
          <w:trHeight w:val="230"/>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color w:val="000000" w:themeColor="text1"/>
                <w:sz w:val="22"/>
                <w:szCs w:val="22"/>
              </w:rPr>
              <w:lastRenderedPageBreak/>
              <w:t>2008</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280.000,00*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275.000,00</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5.</w:t>
            </w:r>
            <w:r w:rsidRPr="00F63A96">
              <w:rPr>
                <w:rFonts w:ascii="Arial"/>
                <w:color w:val="000000" w:themeColor="text1"/>
                <w:sz w:val="18"/>
                <w:szCs w:val="18"/>
              </w:rPr>
              <w:t>000</w:t>
            </w:r>
            <w:r w:rsidRPr="00F63A96">
              <w:rPr>
                <w:color w:val="000000" w:themeColor="text1"/>
                <w:sz w:val="22"/>
                <w:szCs w:val="22"/>
              </w:rPr>
              <w:t>,00</w:t>
            </w:r>
          </w:p>
        </w:tc>
      </w:tr>
      <w:tr w:rsidR="001D1CE8" w:rsidRPr="00F63A96" w:rsidTr="00863829">
        <w:trPr>
          <w:trHeight w:val="230"/>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color w:val="000000" w:themeColor="text1"/>
                <w:sz w:val="22"/>
                <w:szCs w:val="22"/>
              </w:rPr>
              <w:t>2009</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280.000,00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255.000,00</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25.000,00</w:t>
            </w:r>
          </w:p>
        </w:tc>
      </w:tr>
      <w:tr w:rsidR="001D1CE8" w:rsidRPr="00F63A96" w:rsidTr="00863829">
        <w:trPr>
          <w:trHeight w:val="230"/>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color w:val="000000" w:themeColor="text1"/>
                <w:sz w:val="22"/>
                <w:szCs w:val="22"/>
              </w:rPr>
              <w:t>2010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280.000,00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182.668,91</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97.331,09</w:t>
            </w:r>
          </w:p>
        </w:tc>
      </w:tr>
      <w:tr w:rsidR="001D1CE8" w:rsidRPr="00F63A96" w:rsidTr="00863829">
        <w:trPr>
          <w:trHeight w:val="230"/>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color w:val="000000" w:themeColor="text1"/>
                <w:sz w:val="22"/>
                <w:szCs w:val="22"/>
              </w:rPr>
              <w:t>2011</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293.918,12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116.250,00</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color w:val="000000" w:themeColor="text1"/>
                <w:sz w:val="22"/>
                <w:szCs w:val="22"/>
              </w:rPr>
              <w:t xml:space="preserve">€ </w:t>
            </w:r>
            <w:r w:rsidRPr="00F63A96">
              <w:rPr>
                <w:color w:val="000000" w:themeColor="text1"/>
                <w:sz w:val="22"/>
                <w:szCs w:val="22"/>
              </w:rPr>
              <w:t>177.668,12</w:t>
            </w:r>
          </w:p>
        </w:tc>
      </w:tr>
      <w:tr w:rsidR="001D1CE8" w:rsidRPr="00F63A96" w:rsidTr="00863829">
        <w:trPr>
          <w:trHeight w:val="230"/>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b/>
                <w:bCs/>
                <w:color w:val="000000" w:themeColor="text1"/>
                <w:sz w:val="22"/>
                <w:szCs w:val="22"/>
              </w:rPr>
              <w:t>Totale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b/>
                <w:bCs/>
                <w:color w:val="000000" w:themeColor="text1"/>
                <w:sz w:val="22"/>
                <w:szCs w:val="22"/>
              </w:rPr>
              <w:t xml:space="preserve">€ </w:t>
            </w:r>
            <w:r w:rsidRPr="00F63A96">
              <w:rPr>
                <w:b/>
                <w:bCs/>
                <w:color w:val="000000" w:themeColor="text1"/>
                <w:sz w:val="22"/>
                <w:szCs w:val="22"/>
              </w:rPr>
              <w:t>1.273.918,12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b/>
                <w:bCs/>
                <w:color w:val="000000" w:themeColor="text1"/>
                <w:sz w:val="22"/>
                <w:szCs w:val="22"/>
              </w:rPr>
              <w:t xml:space="preserve">€ </w:t>
            </w:r>
            <w:r w:rsidRPr="00F63A96">
              <w:rPr>
                <w:b/>
                <w:bCs/>
                <w:color w:val="000000" w:themeColor="text1"/>
                <w:sz w:val="22"/>
                <w:szCs w:val="22"/>
              </w:rPr>
              <w:t>968.918,91</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b/>
                <w:bCs/>
                <w:color w:val="000000" w:themeColor="text1"/>
                <w:sz w:val="22"/>
                <w:szCs w:val="22"/>
              </w:rPr>
              <w:t xml:space="preserve">€ </w:t>
            </w:r>
            <w:r w:rsidRPr="00F63A96">
              <w:rPr>
                <w:b/>
                <w:bCs/>
                <w:color w:val="000000" w:themeColor="text1"/>
                <w:sz w:val="22"/>
                <w:szCs w:val="22"/>
              </w:rPr>
              <w:t>304.999,21</w:t>
            </w:r>
          </w:p>
        </w:tc>
      </w:tr>
      <w:tr w:rsidR="001D1CE8" w:rsidRPr="00F63A96" w:rsidTr="00863829">
        <w:trPr>
          <w:trHeight w:val="9"/>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b/>
                <w:bCs/>
                <w:color w:val="000000" w:themeColor="text1"/>
                <w:sz w:val="22"/>
                <w:szCs w:val="22"/>
              </w:rPr>
              <w:t>Differenza post Lodo</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b/>
                <w:bCs/>
                <w:color w:val="000000" w:themeColor="text1"/>
                <w:sz w:val="22"/>
                <w:szCs w:val="22"/>
              </w:rPr>
              <w:t xml:space="preserve">- </w:t>
            </w:r>
            <w:r w:rsidRPr="00F63A96">
              <w:rPr>
                <w:rFonts w:hAnsi="Times New Roman"/>
                <w:b/>
                <w:bCs/>
                <w:color w:val="000000" w:themeColor="text1"/>
                <w:sz w:val="22"/>
                <w:szCs w:val="22"/>
              </w:rPr>
              <w:t xml:space="preserve">€ </w:t>
            </w:r>
            <w:r w:rsidRPr="00F63A96">
              <w:rPr>
                <w:b/>
                <w:bCs/>
                <w:color w:val="000000" w:themeColor="text1"/>
                <w:sz w:val="22"/>
                <w:szCs w:val="22"/>
              </w:rPr>
              <w:t>275.000**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264DCB">
            <w:pPr>
              <w:rPr>
                <w:color w:val="000000" w:themeColor="text1"/>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264DCB">
            <w:pPr>
              <w:rPr>
                <w:color w:val="000000" w:themeColor="text1"/>
              </w:rPr>
            </w:pPr>
          </w:p>
        </w:tc>
      </w:tr>
      <w:tr w:rsidR="001D1CE8" w:rsidRPr="00F63A96" w:rsidTr="00863829">
        <w:trPr>
          <w:trHeight w:val="237"/>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264DCB">
            <w:pPr>
              <w:rPr>
                <w:color w:val="000000" w:themeColor="text1"/>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b/>
                <w:bCs/>
                <w:color w:val="000000" w:themeColor="text1"/>
                <w:sz w:val="22"/>
                <w:szCs w:val="22"/>
              </w:rPr>
              <w:t xml:space="preserve">€ </w:t>
            </w:r>
            <w:r w:rsidRPr="00F63A96">
              <w:rPr>
                <w:b/>
                <w:bCs/>
                <w:color w:val="000000" w:themeColor="text1"/>
                <w:sz w:val="22"/>
                <w:szCs w:val="22"/>
              </w:rPr>
              <w:t>998.918,12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b/>
                <w:bCs/>
                <w:color w:val="000000" w:themeColor="text1"/>
                <w:sz w:val="22"/>
                <w:szCs w:val="22"/>
              </w:rPr>
              <w:t xml:space="preserve">€ </w:t>
            </w:r>
            <w:r w:rsidRPr="00F63A96">
              <w:rPr>
                <w:b/>
                <w:bCs/>
                <w:color w:val="000000" w:themeColor="text1"/>
                <w:sz w:val="22"/>
                <w:szCs w:val="22"/>
              </w:rPr>
              <w:t>968.918,91</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Times New Roman"/>
                <w:b/>
                <w:bCs/>
                <w:color w:val="000000" w:themeColor="text1"/>
                <w:sz w:val="22"/>
                <w:szCs w:val="22"/>
              </w:rPr>
              <w:t xml:space="preserve">€ </w:t>
            </w:r>
            <w:r w:rsidRPr="00F63A96">
              <w:rPr>
                <w:b/>
                <w:bCs/>
                <w:color w:val="000000" w:themeColor="text1"/>
                <w:sz w:val="22"/>
                <w:szCs w:val="22"/>
              </w:rPr>
              <w:t>29.999,21</w:t>
            </w:r>
          </w:p>
        </w:tc>
      </w:tr>
    </w:tbl>
    <w:p w:rsidR="00264DCB" w:rsidRPr="00F63A96" w:rsidRDefault="00264DCB">
      <w:pPr>
        <w:widowControl w:val="0"/>
        <w:shd w:val="clear" w:color="auto" w:fill="FEFFFF"/>
        <w:ind w:firstLine="354"/>
        <w:jc w:val="both"/>
        <w:rPr>
          <w:rFonts w:ascii="Verdana" w:eastAsia="Verdana" w:hAnsi="Verdana" w:cs="Verdana"/>
          <w:color w:val="000000" w:themeColor="text1"/>
          <w:sz w:val="20"/>
          <w:szCs w:val="20"/>
          <w:shd w:val="clear" w:color="auto" w:fill="FFFF00"/>
        </w:rPr>
      </w:pPr>
    </w:p>
    <w:p w:rsidR="00264DCB" w:rsidRPr="00F63A96" w:rsidRDefault="000E7F3D">
      <w:pPr>
        <w:shd w:val="clear" w:color="auto" w:fill="FEFFFF"/>
        <w:spacing w:line="360" w:lineRule="auto"/>
        <w:ind w:firstLine="354"/>
        <w:jc w:val="both"/>
        <w:rPr>
          <w:rFonts w:ascii="Verdana" w:eastAsia="Verdana" w:hAnsi="Verdana" w:cs="Verdana"/>
          <w:color w:val="000000" w:themeColor="text1"/>
          <w:sz w:val="16"/>
          <w:szCs w:val="16"/>
        </w:rPr>
      </w:pPr>
      <w:r w:rsidRPr="00F63A96">
        <w:rPr>
          <w:rFonts w:ascii="Verdana"/>
          <w:color w:val="000000" w:themeColor="text1"/>
          <w:sz w:val="16"/>
          <w:szCs w:val="16"/>
        </w:rPr>
        <w:t>* nel 2008 si supera la soglia di 10 farmacie. Non si superer</w:t>
      </w:r>
      <w:r w:rsidRPr="00F63A96">
        <w:rPr>
          <w:rFonts w:hAnsi="Verdana"/>
          <w:color w:val="000000" w:themeColor="text1"/>
          <w:sz w:val="16"/>
          <w:szCs w:val="16"/>
        </w:rPr>
        <w:t>à</w:t>
      </w:r>
      <w:r w:rsidRPr="00F63A96">
        <w:rPr>
          <w:rFonts w:hAnsi="Verdana"/>
          <w:color w:val="000000" w:themeColor="text1"/>
          <w:sz w:val="16"/>
          <w:szCs w:val="16"/>
        </w:rPr>
        <w:t xml:space="preserve"> </w:t>
      </w:r>
      <w:r w:rsidRPr="00F63A96">
        <w:rPr>
          <w:rFonts w:ascii="Verdana"/>
          <w:color w:val="000000" w:themeColor="text1"/>
          <w:sz w:val="16"/>
          <w:szCs w:val="16"/>
        </w:rPr>
        <w:t>fino al 2011.</w:t>
      </w:r>
    </w:p>
    <w:p w:rsidR="00264DCB" w:rsidRPr="00F63A96" w:rsidRDefault="000E7F3D">
      <w:pPr>
        <w:shd w:val="clear" w:color="auto" w:fill="FEFFFF"/>
        <w:spacing w:line="360" w:lineRule="auto"/>
        <w:ind w:firstLine="354"/>
        <w:jc w:val="both"/>
        <w:rPr>
          <w:rFonts w:ascii="Verdana" w:eastAsia="Verdana" w:hAnsi="Verdana" w:cs="Verdana"/>
          <w:color w:val="000000" w:themeColor="text1"/>
          <w:sz w:val="16"/>
          <w:szCs w:val="16"/>
          <w:shd w:val="clear" w:color="auto" w:fill="FFFF00"/>
        </w:rPr>
      </w:pPr>
      <w:r w:rsidRPr="00F63A96">
        <w:rPr>
          <w:rFonts w:ascii="Verdana"/>
          <w:color w:val="000000" w:themeColor="text1"/>
          <w:sz w:val="16"/>
          <w:szCs w:val="16"/>
        </w:rPr>
        <w:t>**Cfr. infra vicenda del Lodo</w:t>
      </w:r>
    </w:p>
    <w:p w:rsidR="00264DCB" w:rsidRPr="00F63A96" w:rsidRDefault="00264DCB">
      <w:pPr>
        <w:shd w:val="clear" w:color="auto" w:fill="FEFFFF"/>
        <w:spacing w:line="360" w:lineRule="auto"/>
        <w:ind w:firstLine="354"/>
        <w:jc w:val="both"/>
        <w:rPr>
          <w:rFonts w:ascii="Verdana" w:eastAsia="Verdana" w:hAnsi="Verdana" w:cs="Verdana"/>
          <w:color w:val="000000" w:themeColor="text1"/>
          <w:sz w:val="16"/>
          <w:szCs w:val="16"/>
          <w:shd w:val="clear" w:color="auto" w:fill="FFFF00"/>
        </w:rPr>
      </w:pPr>
    </w:p>
    <w:p w:rsidR="00264DCB" w:rsidRPr="00F63A96" w:rsidRDefault="000E7F3D" w:rsidP="003042BA">
      <w:pPr>
        <w:shd w:val="clear" w:color="auto" w:fill="FEFFFF"/>
        <w:spacing w:line="360" w:lineRule="auto"/>
        <w:ind w:firstLine="354"/>
        <w:jc w:val="both"/>
        <w:outlineLvl w:val="0"/>
        <w:rPr>
          <w:rFonts w:ascii="Verdana" w:eastAsia="Verdana" w:hAnsi="Verdana" w:cs="Verdana"/>
          <w:color w:val="000000" w:themeColor="text1"/>
          <w:sz w:val="20"/>
          <w:szCs w:val="20"/>
          <w:shd w:val="clear" w:color="auto" w:fill="FFFF00"/>
        </w:rPr>
      </w:pPr>
      <w:r w:rsidRPr="00F63A96">
        <w:rPr>
          <w:rStyle w:val="Numeropagina"/>
          <w:rFonts w:ascii="Verdana"/>
          <w:color w:val="000000" w:themeColor="text1"/>
          <w:sz w:val="20"/>
          <w:szCs w:val="20"/>
        </w:rPr>
        <w:t>Tabella D</w:t>
      </w:r>
      <w:r w:rsidR="008B6D93">
        <w:rPr>
          <w:rStyle w:val="Numeropagina"/>
          <w:rFonts w:ascii="Verdana"/>
          <w:color w:val="000000" w:themeColor="text1"/>
          <w:sz w:val="20"/>
          <w:szCs w:val="20"/>
        </w:rPr>
        <w:t>.1</w:t>
      </w:r>
      <w:r w:rsidRPr="00F63A96">
        <w:rPr>
          <w:rStyle w:val="Numeropagina"/>
          <w:rFonts w:ascii="Verdana"/>
          <w:color w:val="000000" w:themeColor="text1"/>
          <w:sz w:val="20"/>
          <w:szCs w:val="20"/>
        </w:rPr>
        <w:t xml:space="preserve">. Dati societari </w:t>
      </w:r>
      <w:r w:rsidR="003B4079">
        <w:rPr>
          <w:rStyle w:val="Numeropagina"/>
          <w:rFonts w:ascii="Verdana"/>
          <w:color w:val="000000" w:themeColor="text1"/>
          <w:sz w:val="20"/>
          <w:szCs w:val="20"/>
        </w:rPr>
        <w:t>INCOFARMA</w:t>
      </w:r>
      <w:r w:rsidRPr="00F63A96">
        <w:rPr>
          <w:rStyle w:val="Numeropagina"/>
          <w:rFonts w:ascii="Verdana"/>
          <w:color w:val="000000" w:themeColor="text1"/>
          <w:sz w:val="20"/>
          <w:szCs w:val="20"/>
        </w:rPr>
        <w:t xml:space="preserve">. Fonte. Relazione del </w:t>
      </w:r>
      <w:r w:rsidR="00CB42CF">
        <w:rPr>
          <w:rStyle w:val="Numeropagina"/>
          <w:rFonts w:ascii="Verdana"/>
          <w:color w:val="000000" w:themeColor="text1"/>
          <w:sz w:val="20"/>
          <w:szCs w:val="20"/>
        </w:rPr>
        <w:t>D</w:t>
      </w:r>
      <w:r w:rsidRPr="00F63A96">
        <w:rPr>
          <w:rStyle w:val="Numeropagina"/>
          <w:rFonts w:ascii="Verdana"/>
          <w:color w:val="000000" w:themeColor="text1"/>
          <w:sz w:val="20"/>
          <w:szCs w:val="20"/>
        </w:rPr>
        <w:t>irettore generale del CISS</w:t>
      </w:r>
    </w:p>
    <w:tbl>
      <w:tblPr>
        <w:tblStyle w:val="TableNormal"/>
        <w:tblW w:w="10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60"/>
        <w:gridCol w:w="820"/>
        <w:gridCol w:w="862"/>
        <w:gridCol w:w="895"/>
        <w:gridCol w:w="930"/>
        <w:gridCol w:w="931"/>
        <w:gridCol w:w="931"/>
        <w:gridCol w:w="931"/>
        <w:gridCol w:w="931"/>
        <w:gridCol w:w="930"/>
        <w:gridCol w:w="830"/>
      </w:tblGrid>
      <w:tr w:rsidR="00621A1D" w:rsidRPr="00F63A96" w:rsidTr="00621A1D">
        <w:trPr>
          <w:trHeight w:val="275"/>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264DCB">
            <w:pPr>
              <w:rPr>
                <w:color w:val="000000" w:themeColor="text1"/>
              </w:rPr>
            </w:pPr>
          </w:p>
        </w:tc>
        <w:tc>
          <w:tcPr>
            <w:tcW w:w="82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2005</w:t>
            </w:r>
          </w:p>
        </w:tc>
        <w:tc>
          <w:tcPr>
            <w:tcW w:w="862"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2006</w:t>
            </w:r>
          </w:p>
        </w:tc>
        <w:tc>
          <w:tcPr>
            <w:tcW w:w="89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2007</w:t>
            </w:r>
          </w:p>
        </w:tc>
        <w:tc>
          <w:tcPr>
            <w:tcW w:w="93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2008</w:t>
            </w:r>
          </w:p>
        </w:tc>
        <w:tc>
          <w:tcPr>
            <w:tcW w:w="93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2009</w:t>
            </w:r>
          </w:p>
        </w:tc>
        <w:tc>
          <w:tcPr>
            <w:tcW w:w="93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2010</w:t>
            </w:r>
          </w:p>
        </w:tc>
        <w:tc>
          <w:tcPr>
            <w:tcW w:w="93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2011</w:t>
            </w:r>
          </w:p>
        </w:tc>
        <w:tc>
          <w:tcPr>
            <w:tcW w:w="93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2012</w:t>
            </w:r>
          </w:p>
        </w:tc>
        <w:tc>
          <w:tcPr>
            <w:tcW w:w="93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2013</w:t>
            </w:r>
          </w:p>
        </w:tc>
        <w:tc>
          <w:tcPr>
            <w:tcW w:w="830"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rPr>
            </w:pPr>
            <w:r w:rsidRPr="00F63A96">
              <w:rPr>
                <w:rFonts w:ascii="Calibri"/>
                <w:color w:val="000000" w:themeColor="text1"/>
                <w:sz w:val="20"/>
                <w:szCs w:val="20"/>
              </w:rPr>
              <w:t>2014</w:t>
            </w:r>
          </w:p>
        </w:tc>
      </w:tr>
      <w:tr w:rsidR="00621A1D" w:rsidRPr="00F63A96" w:rsidTr="00621A1D">
        <w:trPr>
          <w:trHeight w:val="211"/>
        </w:trPr>
        <w:tc>
          <w:tcPr>
            <w:tcW w:w="106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proofErr w:type="gramStart"/>
            <w:r w:rsidRPr="00F63A96">
              <w:rPr>
                <w:rFonts w:ascii="Calibri"/>
                <w:color w:val="000000" w:themeColor="text1"/>
                <w:sz w:val="16"/>
                <w:szCs w:val="16"/>
              </w:rPr>
              <w:t>utile</w:t>
            </w:r>
            <w:proofErr w:type="gramEnd"/>
          </w:p>
        </w:tc>
        <w:tc>
          <w:tcPr>
            <w:tcW w:w="820"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 </w:t>
            </w:r>
          </w:p>
        </w:tc>
        <w:tc>
          <w:tcPr>
            <w:tcW w:w="86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 </w:t>
            </w:r>
          </w:p>
        </w:tc>
        <w:tc>
          <w:tcPr>
            <w:tcW w:w="89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w:t>
            </w:r>
            <w:r w:rsidRPr="00F63A96">
              <w:rPr>
                <w:rFonts w:hAnsi="Calibri"/>
                <w:b/>
                <w:bCs/>
                <w:color w:val="000000" w:themeColor="text1"/>
                <w:sz w:val="14"/>
                <w:szCs w:val="14"/>
              </w:rPr>
              <w:t xml:space="preserve"> </w:t>
            </w:r>
            <w:r w:rsidRPr="00F63A96">
              <w:rPr>
                <w:rFonts w:ascii="Calibri"/>
                <w:b/>
                <w:bCs/>
                <w:color w:val="000000" w:themeColor="text1"/>
                <w:sz w:val="14"/>
                <w:szCs w:val="14"/>
              </w:rPr>
              <w:t>26.129</w:t>
            </w:r>
          </w:p>
        </w:tc>
        <w:tc>
          <w:tcPr>
            <w:tcW w:w="93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w:t>
            </w:r>
            <w:r w:rsidRPr="00F63A96">
              <w:rPr>
                <w:rFonts w:hAnsi="Calibri"/>
                <w:b/>
                <w:bCs/>
                <w:color w:val="000000" w:themeColor="text1"/>
                <w:sz w:val="14"/>
                <w:szCs w:val="14"/>
              </w:rPr>
              <w:t xml:space="preserve"> </w:t>
            </w:r>
            <w:r w:rsidRPr="00F63A96">
              <w:rPr>
                <w:rFonts w:ascii="Calibri"/>
                <w:b/>
                <w:bCs/>
                <w:color w:val="000000" w:themeColor="text1"/>
                <w:sz w:val="14"/>
                <w:szCs w:val="14"/>
              </w:rPr>
              <w:t>15.828</w:t>
            </w:r>
          </w:p>
        </w:tc>
        <w:tc>
          <w:tcPr>
            <w:tcW w:w="93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w:t>
            </w:r>
            <w:r w:rsidRPr="00F63A96">
              <w:rPr>
                <w:rFonts w:hAnsi="Calibri"/>
                <w:b/>
                <w:bCs/>
                <w:color w:val="000000" w:themeColor="text1"/>
                <w:sz w:val="14"/>
                <w:szCs w:val="14"/>
              </w:rPr>
              <w:t xml:space="preserve"> </w:t>
            </w:r>
            <w:r w:rsidRPr="00F63A96">
              <w:rPr>
                <w:rFonts w:ascii="Calibri"/>
                <w:b/>
                <w:bCs/>
                <w:color w:val="000000" w:themeColor="text1"/>
                <w:sz w:val="14"/>
                <w:szCs w:val="14"/>
              </w:rPr>
              <w:t>26.044,</w:t>
            </w:r>
          </w:p>
        </w:tc>
        <w:tc>
          <w:tcPr>
            <w:tcW w:w="93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w:t>
            </w:r>
            <w:r w:rsidRPr="00F63A96">
              <w:rPr>
                <w:rFonts w:hAnsi="Calibri"/>
                <w:b/>
                <w:bCs/>
                <w:color w:val="000000" w:themeColor="text1"/>
                <w:sz w:val="14"/>
                <w:szCs w:val="14"/>
              </w:rPr>
              <w:t xml:space="preserve"> </w:t>
            </w:r>
            <w:r w:rsidRPr="00F63A96">
              <w:rPr>
                <w:rFonts w:ascii="Calibri"/>
                <w:b/>
                <w:bCs/>
                <w:color w:val="000000" w:themeColor="text1"/>
                <w:sz w:val="14"/>
                <w:szCs w:val="14"/>
              </w:rPr>
              <w:t>387.725</w:t>
            </w:r>
          </w:p>
        </w:tc>
        <w:tc>
          <w:tcPr>
            <w:tcW w:w="93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w:t>
            </w:r>
            <w:r w:rsidRPr="00F63A96">
              <w:rPr>
                <w:rFonts w:hAnsi="Calibri"/>
                <w:b/>
                <w:bCs/>
                <w:color w:val="000000" w:themeColor="text1"/>
                <w:sz w:val="14"/>
                <w:szCs w:val="14"/>
              </w:rPr>
              <w:t xml:space="preserve"> </w:t>
            </w:r>
            <w:r w:rsidRPr="00F63A96">
              <w:rPr>
                <w:rFonts w:ascii="Calibri"/>
                <w:b/>
                <w:bCs/>
                <w:color w:val="000000" w:themeColor="text1"/>
                <w:sz w:val="14"/>
                <w:szCs w:val="14"/>
              </w:rPr>
              <w:t>265.000</w:t>
            </w:r>
          </w:p>
        </w:tc>
        <w:tc>
          <w:tcPr>
            <w:tcW w:w="93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w:t>
            </w:r>
            <w:r w:rsidRPr="00F63A96">
              <w:rPr>
                <w:rFonts w:hAnsi="Calibri"/>
                <w:b/>
                <w:bCs/>
                <w:color w:val="000000" w:themeColor="text1"/>
                <w:sz w:val="14"/>
                <w:szCs w:val="14"/>
              </w:rPr>
              <w:t xml:space="preserve"> </w:t>
            </w:r>
            <w:r w:rsidRPr="00F63A96">
              <w:rPr>
                <w:rFonts w:ascii="Calibri"/>
                <w:b/>
                <w:bCs/>
                <w:color w:val="000000" w:themeColor="text1"/>
                <w:sz w:val="14"/>
                <w:szCs w:val="14"/>
              </w:rPr>
              <w:t>286.008</w:t>
            </w:r>
          </w:p>
        </w:tc>
        <w:tc>
          <w:tcPr>
            <w:tcW w:w="93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w:t>
            </w:r>
            <w:r w:rsidRPr="00F63A96">
              <w:rPr>
                <w:rFonts w:hAnsi="Calibri"/>
                <w:b/>
                <w:bCs/>
                <w:color w:val="000000" w:themeColor="text1"/>
                <w:sz w:val="14"/>
                <w:szCs w:val="14"/>
              </w:rPr>
              <w:t xml:space="preserve"> </w:t>
            </w:r>
            <w:r w:rsidRPr="00F63A96">
              <w:rPr>
                <w:rFonts w:ascii="Calibri"/>
                <w:b/>
                <w:bCs/>
                <w:color w:val="000000" w:themeColor="text1"/>
                <w:sz w:val="14"/>
                <w:szCs w:val="14"/>
              </w:rPr>
              <w:t>332.281</w:t>
            </w:r>
          </w:p>
        </w:tc>
        <w:tc>
          <w:tcPr>
            <w:tcW w:w="830"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b/>
                <w:bCs/>
                <w:color w:val="000000" w:themeColor="text1"/>
                <w:sz w:val="14"/>
                <w:szCs w:val="14"/>
              </w:rPr>
              <w:t> </w:t>
            </w:r>
          </w:p>
        </w:tc>
      </w:tr>
      <w:tr w:rsidR="00621A1D" w:rsidRPr="00F63A96" w:rsidTr="00621A1D">
        <w:trPr>
          <w:trHeight w:val="206"/>
        </w:trPr>
        <w:tc>
          <w:tcPr>
            <w:tcW w:w="10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proofErr w:type="gramStart"/>
            <w:r w:rsidRPr="00F63A96">
              <w:rPr>
                <w:rFonts w:ascii="Calibri"/>
                <w:color w:val="000000" w:themeColor="text1"/>
                <w:sz w:val="16"/>
                <w:szCs w:val="16"/>
              </w:rPr>
              <w:t>utile</w:t>
            </w:r>
            <w:proofErr w:type="gramEnd"/>
            <w:r w:rsidRPr="00F63A96">
              <w:rPr>
                <w:rFonts w:ascii="Calibri"/>
                <w:color w:val="000000" w:themeColor="text1"/>
                <w:sz w:val="16"/>
                <w:szCs w:val="16"/>
              </w:rPr>
              <w:t xml:space="preserve"> lordo</w:t>
            </w:r>
          </w:p>
        </w:tc>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ascii="Calibri"/>
                <w:color w:val="000000" w:themeColor="text1"/>
                <w:sz w:val="14"/>
                <w:szCs w:val="14"/>
                <w:u w:color="DD0806"/>
              </w:rPr>
              <w:t>-</w:t>
            </w:r>
            <w:r w:rsidRPr="00F63A96">
              <w:rPr>
                <w:rFonts w:hAnsi="Calibri"/>
                <w:color w:val="000000" w:themeColor="text1"/>
                <w:sz w:val="14"/>
                <w:szCs w:val="14"/>
                <w:u w:color="DD0806"/>
              </w:rPr>
              <w:t>€</w:t>
            </w:r>
            <w:r w:rsidRPr="00F63A96">
              <w:rPr>
                <w:rFonts w:hAnsi="Calibri"/>
                <w:color w:val="000000" w:themeColor="text1"/>
                <w:sz w:val="14"/>
                <w:szCs w:val="14"/>
                <w:u w:color="DD0806"/>
              </w:rPr>
              <w:t xml:space="preserve"> </w:t>
            </w:r>
            <w:r w:rsidRPr="00F63A96">
              <w:rPr>
                <w:rFonts w:ascii="Calibri"/>
                <w:color w:val="000000" w:themeColor="text1"/>
                <w:sz w:val="14"/>
                <w:szCs w:val="14"/>
                <w:u w:color="DD0806"/>
              </w:rPr>
              <w:t>87.829</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ascii="Calibri"/>
                <w:color w:val="000000" w:themeColor="text1"/>
                <w:sz w:val="14"/>
                <w:szCs w:val="14"/>
                <w:u w:color="DD0806"/>
              </w:rPr>
              <w:t>-</w:t>
            </w:r>
            <w:r w:rsidRPr="00F63A96">
              <w:rPr>
                <w:rFonts w:hAnsi="Calibri"/>
                <w:color w:val="000000" w:themeColor="text1"/>
                <w:sz w:val="14"/>
                <w:szCs w:val="14"/>
                <w:u w:color="DD0806"/>
              </w:rPr>
              <w:t>€</w:t>
            </w:r>
            <w:r w:rsidRPr="00F63A96">
              <w:rPr>
                <w:rFonts w:hAnsi="Calibri"/>
                <w:color w:val="000000" w:themeColor="text1"/>
                <w:sz w:val="14"/>
                <w:szCs w:val="14"/>
                <w:u w:color="DD0806"/>
              </w:rPr>
              <w:t xml:space="preserve"> </w:t>
            </w:r>
            <w:r w:rsidRPr="00F63A96">
              <w:rPr>
                <w:rFonts w:ascii="Calibri"/>
                <w:color w:val="000000" w:themeColor="text1"/>
                <w:sz w:val="14"/>
                <w:szCs w:val="14"/>
                <w:u w:color="DD0806"/>
              </w:rPr>
              <w:t>302.711</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76.847</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59.777</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63.858</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609.066</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501.517</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494.591</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586.401</w:t>
            </w:r>
          </w:p>
        </w:tc>
        <w:tc>
          <w:tcPr>
            <w:tcW w:w="83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r>
      <w:tr w:rsidR="00621A1D" w:rsidRPr="00F63A96" w:rsidTr="00621A1D">
        <w:trPr>
          <w:trHeight w:val="206"/>
        </w:trPr>
        <w:tc>
          <w:tcPr>
            <w:tcW w:w="10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2D535C">
            <w:pPr>
              <w:rPr>
                <w:color w:val="000000" w:themeColor="text1"/>
              </w:rPr>
            </w:pPr>
            <w:proofErr w:type="spellStart"/>
            <w:r w:rsidRPr="00F63A96">
              <w:rPr>
                <w:rFonts w:ascii="Calibri"/>
                <w:color w:val="000000" w:themeColor="text1"/>
                <w:sz w:val="16"/>
                <w:szCs w:val="16"/>
                <w:u w:color="3366FF"/>
              </w:rPr>
              <w:t>Ris.</w:t>
            </w:r>
            <w:r w:rsidR="00481DEF" w:rsidRPr="00F63A96">
              <w:rPr>
                <w:rFonts w:ascii="Calibri"/>
                <w:color w:val="000000" w:themeColor="text1"/>
                <w:sz w:val="16"/>
                <w:szCs w:val="16"/>
                <w:u w:color="3366FF"/>
              </w:rPr>
              <w:t>ge</w:t>
            </w:r>
            <w:r w:rsidRPr="00F63A96">
              <w:rPr>
                <w:rFonts w:ascii="Calibri"/>
                <w:color w:val="000000" w:themeColor="text1"/>
                <w:sz w:val="16"/>
                <w:szCs w:val="16"/>
                <w:u w:color="3366FF"/>
              </w:rPr>
              <w:t>st</w:t>
            </w:r>
            <w:proofErr w:type="spellEnd"/>
            <w:r w:rsidR="00481DEF" w:rsidRPr="00F63A96">
              <w:rPr>
                <w:rFonts w:ascii="Calibri"/>
                <w:color w:val="000000" w:themeColor="text1"/>
                <w:sz w:val="16"/>
                <w:szCs w:val="16"/>
                <w:u w:color="3366FF"/>
              </w:rPr>
              <w:t>.</w:t>
            </w:r>
            <w:r w:rsidRPr="00F63A96">
              <w:rPr>
                <w:rFonts w:ascii="Calibri"/>
                <w:color w:val="000000" w:themeColor="text1"/>
                <w:sz w:val="16"/>
                <w:szCs w:val="16"/>
                <w:u w:color="3366FF"/>
              </w:rPr>
              <w:t xml:space="preserve"> </w:t>
            </w:r>
            <w:proofErr w:type="gramStart"/>
            <w:r w:rsidRPr="00F63A96">
              <w:rPr>
                <w:rFonts w:ascii="Calibri"/>
                <w:color w:val="000000" w:themeColor="text1"/>
                <w:sz w:val="16"/>
                <w:szCs w:val="16"/>
                <w:u w:color="3366FF"/>
              </w:rPr>
              <w:t>caratte</w:t>
            </w:r>
            <w:r w:rsidR="00481DEF" w:rsidRPr="00F63A96">
              <w:rPr>
                <w:rFonts w:ascii="Calibri"/>
                <w:color w:val="000000" w:themeColor="text1"/>
                <w:sz w:val="16"/>
                <w:szCs w:val="16"/>
                <w:u w:color="3366FF"/>
              </w:rPr>
              <w:t>ristica</w:t>
            </w:r>
            <w:proofErr w:type="gramEnd"/>
          </w:p>
        </w:tc>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u w:color="3366FF"/>
              </w:rPr>
              <w:t>€</w:t>
            </w:r>
            <w:r w:rsidRPr="00F63A96">
              <w:rPr>
                <w:rFonts w:hAnsi="Calibri"/>
                <w:color w:val="000000" w:themeColor="text1"/>
                <w:sz w:val="14"/>
                <w:szCs w:val="14"/>
                <w:u w:color="3366FF"/>
              </w:rPr>
              <w:t xml:space="preserve"> </w:t>
            </w:r>
            <w:r w:rsidRPr="00F63A96">
              <w:rPr>
                <w:rFonts w:ascii="Calibri"/>
                <w:color w:val="000000" w:themeColor="text1"/>
                <w:sz w:val="14"/>
                <w:szCs w:val="14"/>
                <w:u w:color="3366FF"/>
              </w:rPr>
              <w:t>105.091</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u w:color="3366FF"/>
              </w:rPr>
              <w:t>€</w:t>
            </w:r>
            <w:r w:rsidRPr="00F63A96">
              <w:rPr>
                <w:rFonts w:hAnsi="Calibri"/>
                <w:color w:val="000000" w:themeColor="text1"/>
                <w:sz w:val="14"/>
                <w:szCs w:val="14"/>
                <w:u w:color="3366FF"/>
              </w:rPr>
              <w:t xml:space="preserve"> </w:t>
            </w:r>
            <w:r w:rsidRPr="00F63A96">
              <w:rPr>
                <w:rFonts w:ascii="Calibri"/>
                <w:color w:val="000000" w:themeColor="text1"/>
                <w:sz w:val="14"/>
                <w:szCs w:val="14"/>
                <w:u w:color="3366FF"/>
              </w:rPr>
              <w:t>143.138</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u w:color="3366FF"/>
              </w:rPr>
              <w:t>€</w:t>
            </w:r>
            <w:r w:rsidRPr="00F63A96">
              <w:rPr>
                <w:rFonts w:hAnsi="Calibri"/>
                <w:color w:val="000000" w:themeColor="text1"/>
                <w:sz w:val="14"/>
                <w:szCs w:val="14"/>
                <w:u w:color="3366FF"/>
              </w:rPr>
              <w:t xml:space="preserve"> </w:t>
            </w:r>
            <w:r w:rsidRPr="00F63A96">
              <w:rPr>
                <w:rFonts w:ascii="Calibri"/>
                <w:color w:val="000000" w:themeColor="text1"/>
                <w:sz w:val="14"/>
                <w:szCs w:val="14"/>
                <w:u w:color="3366FF"/>
              </w:rPr>
              <w:t>140.380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u w:color="3366FF"/>
              </w:rPr>
              <w:t>€</w:t>
            </w:r>
            <w:r w:rsidRPr="00F63A96">
              <w:rPr>
                <w:rFonts w:hAnsi="Calibri"/>
                <w:color w:val="000000" w:themeColor="text1"/>
                <w:sz w:val="14"/>
                <w:szCs w:val="14"/>
                <w:u w:color="3366FF"/>
              </w:rPr>
              <w:t xml:space="preserve"> </w:t>
            </w:r>
            <w:r w:rsidRPr="00F63A96">
              <w:rPr>
                <w:rFonts w:ascii="Calibri"/>
                <w:color w:val="000000" w:themeColor="text1"/>
                <w:sz w:val="14"/>
                <w:szCs w:val="14"/>
                <w:u w:color="3366FF"/>
              </w:rPr>
              <w:t>784.243</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u w:color="3366FF"/>
              </w:rPr>
              <w:t>€</w:t>
            </w:r>
            <w:r w:rsidRPr="00F63A96">
              <w:rPr>
                <w:rFonts w:hAnsi="Calibri"/>
                <w:color w:val="000000" w:themeColor="text1"/>
                <w:sz w:val="14"/>
                <w:szCs w:val="14"/>
                <w:u w:color="3366FF"/>
              </w:rPr>
              <w:t xml:space="preserve"> </w:t>
            </w:r>
            <w:r w:rsidRPr="00F63A96">
              <w:rPr>
                <w:rFonts w:ascii="Calibri"/>
                <w:color w:val="000000" w:themeColor="text1"/>
                <w:sz w:val="14"/>
                <w:szCs w:val="14"/>
                <w:u w:color="3366FF"/>
              </w:rPr>
              <w:t>895.909</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707.184</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764.916</w:t>
            </w:r>
          </w:p>
        </w:tc>
        <w:tc>
          <w:tcPr>
            <w:tcW w:w="83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r>
      <w:tr w:rsidR="00621A1D" w:rsidRPr="00F63A96" w:rsidTr="00621A1D">
        <w:trPr>
          <w:trHeight w:val="403"/>
        </w:trPr>
        <w:tc>
          <w:tcPr>
            <w:tcW w:w="10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proofErr w:type="gramStart"/>
            <w:r w:rsidRPr="00F63A96">
              <w:rPr>
                <w:rFonts w:ascii="Calibri"/>
                <w:color w:val="000000" w:themeColor="text1"/>
                <w:sz w:val="16"/>
                <w:szCs w:val="16"/>
              </w:rPr>
              <w:t>numero</w:t>
            </w:r>
            <w:proofErr w:type="gramEnd"/>
            <w:r w:rsidRPr="00F63A96">
              <w:rPr>
                <w:rFonts w:ascii="Calibri"/>
                <w:color w:val="000000" w:themeColor="text1"/>
                <w:sz w:val="16"/>
                <w:szCs w:val="16"/>
              </w:rPr>
              <w:t xml:space="preserve"> farmacie</w:t>
            </w:r>
          </w:p>
        </w:tc>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ascii="Calibri"/>
                <w:color w:val="000000" w:themeColor="text1"/>
                <w:sz w:val="16"/>
                <w:szCs w:val="16"/>
              </w:rPr>
              <w:t>11</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ascii="Calibri"/>
                <w:color w:val="000000" w:themeColor="text1"/>
                <w:sz w:val="16"/>
                <w:szCs w:val="16"/>
              </w:rPr>
              <w:t>12</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ascii="Calibri"/>
                <w:color w:val="000000" w:themeColor="text1"/>
                <w:sz w:val="16"/>
                <w:szCs w:val="16"/>
              </w:rPr>
              <w:t>13</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ascii="Calibri"/>
                <w:color w:val="000000" w:themeColor="text1"/>
                <w:sz w:val="16"/>
                <w:szCs w:val="16"/>
              </w:rPr>
              <w:t>14</w:t>
            </w:r>
          </w:p>
        </w:tc>
        <w:tc>
          <w:tcPr>
            <w:tcW w:w="83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ascii="Calibri"/>
                <w:color w:val="000000" w:themeColor="text1"/>
                <w:sz w:val="16"/>
                <w:szCs w:val="16"/>
              </w:rPr>
              <w:t>15</w:t>
            </w:r>
          </w:p>
        </w:tc>
      </w:tr>
      <w:tr w:rsidR="00621A1D" w:rsidRPr="00F63A96" w:rsidTr="00621A1D">
        <w:trPr>
          <w:trHeight w:val="403"/>
        </w:trPr>
        <w:tc>
          <w:tcPr>
            <w:tcW w:w="10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proofErr w:type="gramStart"/>
            <w:r w:rsidRPr="00F63A96">
              <w:rPr>
                <w:rFonts w:ascii="Calibri"/>
                <w:color w:val="000000" w:themeColor="text1"/>
                <w:sz w:val="16"/>
                <w:szCs w:val="16"/>
              </w:rPr>
              <w:t>valore</w:t>
            </w:r>
            <w:proofErr w:type="gramEnd"/>
            <w:r w:rsidRPr="00F63A96">
              <w:rPr>
                <w:rFonts w:ascii="Calibri"/>
                <w:color w:val="000000" w:themeColor="text1"/>
                <w:sz w:val="16"/>
                <w:szCs w:val="16"/>
              </w:rPr>
              <w:t xml:space="preserve"> produzione</w:t>
            </w:r>
          </w:p>
        </w:tc>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6.807.612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9.471.450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13.378.624</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16.525.038</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15.700.001</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15.035.159</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17.500.000</w:t>
            </w:r>
          </w:p>
        </w:tc>
        <w:tc>
          <w:tcPr>
            <w:tcW w:w="83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r>
      <w:tr w:rsidR="00621A1D" w:rsidRPr="00F63A96" w:rsidTr="00621A1D">
        <w:trPr>
          <w:trHeight w:val="248"/>
        </w:trPr>
        <w:tc>
          <w:tcPr>
            <w:tcW w:w="106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proofErr w:type="gramStart"/>
            <w:r w:rsidRPr="00F63A96">
              <w:rPr>
                <w:rFonts w:ascii="Calibri"/>
                <w:color w:val="000000" w:themeColor="text1"/>
                <w:sz w:val="16"/>
                <w:szCs w:val="16"/>
              </w:rPr>
              <w:t>personale</w:t>
            </w:r>
            <w:proofErr w:type="gramEnd"/>
          </w:p>
        </w:tc>
        <w:tc>
          <w:tcPr>
            <w:tcW w:w="820"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86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6"/>
                <w:szCs w:val="16"/>
              </w:rPr>
              <w:t> </w:t>
            </w:r>
          </w:p>
        </w:tc>
        <w:tc>
          <w:tcPr>
            <w:tcW w:w="8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c>
          <w:tcPr>
            <w:tcW w:w="93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c>
          <w:tcPr>
            <w:tcW w:w="931"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c>
          <w:tcPr>
            <w:tcW w:w="931"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c>
          <w:tcPr>
            <w:tcW w:w="931"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c>
          <w:tcPr>
            <w:tcW w:w="931"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1.724.715</w:t>
            </w:r>
          </w:p>
        </w:tc>
        <w:tc>
          <w:tcPr>
            <w:tcW w:w="93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w:t>
            </w:r>
            <w:r w:rsidRPr="00F63A96">
              <w:rPr>
                <w:rFonts w:hAnsi="Calibri"/>
                <w:color w:val="000000" w:themeColor="text1"/>
                <w:sz w:val="14"/>
                <w:szCs w:val="14"/>
              </w:rPr>
              <w:t xml:space="preserve"> </w:t>
            </w:r>
            <w:r w:rsidRPr="00F63A96">
              <w:rPr>
                <w:rFonts w:ascii="Calibri"/>
                <w:color w:val="000000" w:themeColor="text1"/>
                <w:sz w:val="14"/>
                <w:szCs w:val="14"/>
              </w:rPr>
              <w:t>1.993.675</w:t>
            </w:r>
          </w:p>
        </w:tc>
        <w:tc>
          <w:tcPr>
            <w:tcW w:w="830"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rPr>
            </w:pPr>
            <w:r w:rsidRPr="00F63A96">
              <w:rPr>
                <w:rFonts w:hAnsi="Calibri"/>
                <w:color w:val="000000" w:themeColor="text1"/>
                <w:sz w:val="14"/>
                <w:szCs w:val="14"/>
              </w:rPr>
              <w:t> </w:t>
            </w:r>
          </w:p>
        </w:tc>
      </w:tr>
    </w:tbl>
    <w:p w:rsidR="00264DCB" w:rsidRPr="00F63A96" w:rsidRDefault="00264DCB">
      <w:pPr>
        <w:widowControl w:val="0"/>
        <w:shd w:val="clear" w:color="auto" w:fill="FEFFFF"/>
        <w:ind w:firstLine="354"/>
        <w:jc w:val="both"/>
        <w:rPr>
          <w:rFonts w:ascii="Verdana" w:eastAsia="Verdana" w:hAnsi="Verdana" w:cs="Verdana"/>
          <w:color w:val="000000" w:themeColor="text1"/>
          <w:sz w:val="20"/>
          <w:szCs w:val="20"/>
          <w:shd w:val="clear" w:color="auto" w:fill="FFFF00"/>
        </w:rPr>
      </w:pPr>
    </w:p>
    <w:p w:rsidR="006F74BD" w:rsidRPr="00F63A96" w:rsidRDefault="006F74BD" w:rsidP="006F74BD">
      <w:pPr>
        <w:widowControl w:val="0"/>
        <w:shd w:val="clear" w:color="auto" w:fill="FEFFFF"/>
        <w:ind w:firstLine="354"/>
        <w:jc w:val="both"/>
        <w:rPr>
          <w:rFonts w:ascii="Verdana" w:eastAsia="Verdana" w:hAnsi="Verdana" w:cs="Verdana"/>
          <w:color w:val="000000" w:themeColor="text1"/>
          <w:sz w:val="20"/>
          <w:szCs w:val="20"/>
        </w:rPr>
      </w:pPr>
    </w:p>
    <w:p w:rsidR="006F74BD" w:rsidRPr="00F63A96" w:rsidRDefault="006F74BD" w:rsidP="006F74BD">
      <w:pPr>
        <w:shd w:val="clear" w:color="auto" w:fill="FEFFFF"/>
        <w:spacing w:line="360" w:lineRule="auto"/>
        <w:ind w:firstLine="354"/>
        <w:jc w:val="both"/>
        <w:rPr>
          <w:rFonts w:ascii="Verdana" w:eastAsia="Verdana" w:hAnsi="Verdana" w:cs="Verdana"/>
          <w:color w:val="000000" w:themeColor="text1"/>
          <w:sz w:val="20"/>
          <w:szCs w:val="20"/>
        </w:rPr>
      </w:pPr>
      <w:r w:rsidRPr="00F63A96">
        <w:rPr>
          <w:rFonts w:ascii="Verdana"/>
          <w:color w:val="000000" w:themeColor="text1"/>
          <w:sz w:val="20"/>
          <w:szCs w:val="20"/>
        </w:rPr>
        <w:t xml:space="preserve">Tabella </w:t>
      </w:r>
      <w:r w:rsidR="00671ED5">
        <w:rPr>
          <w:rFonts w:ascii="Verdana"/>
          <w:color w:val="000000" w:themeColor="text1"/>
          <w:sz w:val="20"/>
          <w:szCs w:val="20"/>
        </w:rPr>
        <w:t>D</w:t>
      </w:r>
      <w:r w:rsidR="008B6D93">
        <w:rPr>
          <w:rFonts w:ascii="Verdana"/>
          <w:color w:val="000000" w:themeColor="text1"/>
          <w:sz w:val="20"/>
          <w:szCs w:val="20"/>
        </w:rPr>
        <w:t>.2</w:t>
      </w:r>
      <w:r w:rsidRPr="00F63A96">
        <w:rPr>
          <w:rFonts w:ascii="Verdana"/>
          <w:color w:val="000000" w:themeColor="text1"/>
          <w:sz w:val="20"/>
          <w:szCs w:val="20"/>
        </w:rPr>
        <w:t>. Redditivit</w:t>
      </w:r>
      <w:r w:rsidRPr="00F63A96">
        <w:rPr>
          <w:rFonts w:hAnsi="Verdana"/>
          <w:color w:val="000000" w:themeColor="text1"/>
          <w:sz w:val="20"/>
          <w:szCs w:val="20"/>
        </w:rPr>
        <w:t>à</w:t>
      </w:r>
      <w:r w:rsidRPr="00F63A96">
        <w:rPr>
          <w:rFonts w:hAnsi="Verdana"/>
          <w:color w:val="000000" w:themeColor="text1"/>
          <w:sz w:val="20"/>
          <w:szCs w:val="20"/>
        </w:rPr>
        <w:t xml:space="preserve"> </w:t>
      </w:r>
      <w:r w:rsidRPr="00F63A96">
        <w:rPr>
          <w:rFonts w:ascii="Verdana"/>
          <w:color w:val="000000" w:themeColor="text1"/>
          <w:sz w:val="20"/>
          <w:szCs w:val="20"/>
        </w:rPr>
        <w:t xml:space="preserve">del socio privato. </w:t>
      </w:r>
      <w:r w:rsidRPr="00F63A96">
        <w:rPr>
          <w:rStyle w:val="Numeropagina"/>
          <w:rFonts w:ascii="Verdana"/>
          <w:color w:val="000000" w:themeColor="text1"/>
          <w:sz w:val="20"/>
          <w:szCs w:val="20"/>
        </w:rPr>
        <w:t xml:space="preserve">Fonte. Relazione del </w:t>
      </w:r>
      <w:r w:rsidR="00CB42CF">
        <w:rPr>
          <w:rStyle w:val="Numeropagina"/>
          <w:rFonts w:ascii="Verdana"/>
          <w:color w:val="000000" w:themeColor="text1"/>
          <w:sz w:val="20"/>
          <w:szCs w:val="20"/>
        </w:rPr>
        <w:t>D</w:t>
      </w:r>
      <w:r w:rsidRPr="00F63A96">
        <w:rPr>
          <w:rStyle w:val="Numeropagina"/>
          <w:rFonts w:ascii="Verdana"/>
          <w:color w:val="000000" w:themeColor="text1"/>
          <w:sz w:val="20"/>
          <w:szCs w:val="20"/>
        </w:rPr>
        <w:t>irettore generale del CISS</w:t>
      </w:r>
    </w:p>
    <w:tbl>
      <w:tblPr>
        <w:tblStyle w:val="TableNormal"/>
        <w:tblW w:w="9834" w:type="dxa"/>
        <w:tblInd w:w="10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061"/>
        <w:gridCol w:w="855"/>
        <w:gridCol w:w="855"/>
        <w:gridCol w:w="930"/>
        <w:gridCol w:w="930"/>
        <w:gridCol w:w="930"/>
        <w:gridCol w:w="930"/>
        <w:gridCol w:w="817"/>
        <w:gridCol w:w="892"/>
        <w:gridCol w:w="817"/>
        <w:gridCol w:w="817"/>
      </w:tblGrid>
      <w:tr w:rsidR="006F74BD" w:rsidRPr="00F63A96" w:rsidTr="003F5E68">
        <w:trPr>
          <w:trHeight w:val="300"/>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pStyle w:val="Stiletabella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color w:val="000000" w:themeColor="text1"/>
              </w:rPr>
            </w:pPr>
            <w:r w:rsidRPr="00F63A96">
              <w:rPr>
                <w:rFonts w:ascii="Calibri"/>
                <w:color w:val="000000" w:themeColor="text1"/>
              </w:rPr>
              <w:t>SOCIGESS</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2005</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2006</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2007</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2008</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2009</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2010</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2011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2012</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2013</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2014</w:t>
            </w:r>
          </w:p>
        </w:tc>
      </w:tr>
      <w:tr w:rsidR="006F74BD" w:rsidRPr="00F63A96" w:rsidTr="003F5E68">
        <w:trPr>
          <w:trHeight w:val="300"/>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pStyle w:val="Stiletabella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color w:val="000000" w:themeColor="text1"/>
              </w:rPr>
            </w:pPr>
            <w:r w:rsidRPr="00F63A96">
              <w:rPr>
                <w:rFonts w:ascii="Calibri"/>
                <w:color w:val="000000" w:themeColor="text1"/>
              </w:rPr>
              <w:t>Utile</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23.823</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29.948</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189.540</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551.911</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334.135</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278.696</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64.893</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F63A96" w:rsidRDefault="006F74BD" w:rsidP="003F5E68">
            <w:pPr>
              <w:jc w:val="right"/>
              <w:rPr>
                <w:color w:val="000000" w:themeColor="text1"/>
              </w:rPr>
            </w:pPr>
            <w:r w:rsidRPr="00F63A96">
              <w:rPr>
                <w:rFonts w:ascii="Calibri"/>
                <w:color w:val="000000" w:themeColor="text1"/>
              </w:rPr>
              <w:t>249.092</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1128AB" w:rsidRDefault="001128AB" w:rsidP="001128AB">
            <w:pPr>
              <w:jc w:val="right"/>
              <w:rPr>
                <w:rFonts w:ascii="Calibri"/>
                <w:color w:val="000000" w:themeColor="text1"/>
              </w:rPr>
            </w:pPr>
            <w:proofErr w:type="spellStart"/>
            <w:r w:rsidRPr="001128AB">
              <w:rPr>
                <w:rFonts w:ascii="Calibri"/>
                <w:color w:val="000000" w:themeColor="text1"/>
              </w:rPr>
              <w:t>n.p</w:t>
            </w:r>
            <w:proofErr w:type="spellEnd"/>
            <w:r w:rsidRPr="001128AB">
              <w:rPr>
                <w:rFonts w:ascii="Calibri"/>
                <w:color w:val="000000" w:themeColor="text1"/>
              </w:rPr>
              <w:t>.</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6F74BD" w:rsidRPr="001128AB" w:rsidRDefault="001128AB" w:rsidP="001128AB">
            <w:pPr>
              <w:jc w:val="right"/>
              <w:rPr>
                <w:rFonts w:ascii="Calibri"/>
                <w:color w:val="000000" w:themeColor="text1"/>
              </w:rPr>
            </w:pPr>
            <w:proofErr w:type="spellStart"/>
            <w:r w:rsidRPr="001128AB">
              <w:rPr>
                <w:rFonts w:ascii="Calibri"/>
                <w:color w:val="000000" w:themeColor="text1"/>
              </w:rPr>
              <w:t>n.p</w:t>
            </w:r>
            <w:proofErr w:type="spellEnd"/>
          </w:p>
        </w:tc>
      </w:tr>
    </w:tbl>
    <w:p w:rsidR="006F74BD" w:rsidRPr="00F63A96" w:rsidRDefault="006F74BD" w:rsidP="006F74BD">
      <w:pPr>
        <w:shd w:val="clear" w:color="auto" w:fill="FEFFFF"/>
        <w:spacing w:line="360" w:lineRule="auto"/>
        <w:ind w:firstLine="354"/>
        <w:jc w:val="both"/>
        <w:rPr>
          <w:rFonts w:ascii="Verdana" w:eastAsia="Verdana" w:hAnsi="Verdana" w:cs="Verdana"/>
          <w:color w:val="000000" w:themeColor="text1"/>
          <w:sz w:val="20"/>
          <w:szCs w:val="20"/>
        </w:rPr>
      </w:pPr>
    </w:p>
    <w:p w:rsidR="00264DCB" w:rsidRPr="00A45056" w:rsidRDefault="00264DCB">
      <w:pPr>
        <w:shd w:val="clear" w:color="auto" w:fill="FEFFFF"/>
        <w:spacing w:line="360" w:lineRule="auto"/>
        <w:ind w:firstLine="354"/>
        <w:jc w:val="both"/>
        <w:rPr>
          <w:rFonts w:ascii="Verdana" w:eastAsia="Verdana" w:hAnsi="Verdana" w:cs="Verdana"/>
          <w:color w:val="000000" w:themeColor="text1"/>
          <w:sz w:val="16"/>
          <w:szCs w:val="16"/>
          <w:shd w:val="clear" w:color="auto" w:fill="FFFF00"/>
        </w:rPr>
      </w:pPr>
    </w:p>
    <w:p w:rsidR="00264DCB" w:rsidRPr="00A45056"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Dalla tabella di cui sopra si e</w:t>
      </w:r>
      <w:r w:rsidR="005456C8" w:rsidRPr="00A45056">
        <w:rPr>
          <w:rFonts w:ascii="Verdana" w:hAnsi="Verdana"/>
          <w:color w:val="000000" w:themeColor="text1"/>
          <w:sz w:val="20"/>
          <w:szCs w:val="20"/>
        </w:rPr>
        <w:t>vince che dal 2007 al 2011 il CI</w:t>
      </w:r>
      <w:r w:rsidR="00987A94" w:rsidRPr="00A45056">
        <w:rPr>
          <w:rFonts w:ascii="Verdana" w:hAnsi="Verdana"/>
          <w:color w:val="000000" w:themeColor="text1"/>
          <w:sz w:val="20"/>
          <w:szCs w:val="20"/>
        </w:rPr>
        <w:t>SS</w:t>
      </w:r>
      <w:r w:rsidR="00C27A5D" w:rsidRPr="00A45056">
        <w:rPr>
          <w:rFonts w:ascii="Verdana" w:hAnsi="Verdana"/>
          <w:color w:val="000000" w:themeColor="text1"/>
          <w:sz w:val="20"/>
          <w:szCs w:val="20"/>
        </w:rPr>
        <w:t xml:space="preserve"> ha fatturato a SOCIGESS</w:t>
      </w:r>
      <w:r w:rsidRPr="00A45056">
        <w:rPr>
          <w:rFonts w:ascii="Verdana" w:hAnsi="Verdana"/>
          <w:color w:val="000000" w:themeColor="text1"/>
          <w:sz w:val="20"/>
          <w:szCs w:val="20"/>
        </w:rPr>
        <w:t xml:space="preserve">, in base al contratto di servizio, canoni relativi ai suddetti anni di competenza economica per un totale di € 1.273.918,12 </w:t>
      </w:r>
      <w:r w:rsidR="009B594A" w:rsidRPr="00A45056">
        <w:rPr>
          <w:rFonts w:ascii="Verdana" w:hAnsi="Verdana"/>
          <w:color w:val="000000" w:themeColor="text1"/>
          <w:sz w:val="20"/>
          <w:szCs w:val="20"/>
        </w:rPr>
        <w:t xml:space="preserve">incassandone </w:t>
      </w:r>
      <w:r w:rsidR="00EA5B78" w:rsidRPr="00A45056">
        <w:rPr>
          <w:rFonts w:ascii="Verdana" w:hAnsi="Verdana"/>
          <w:color w:val="000000" w:themeColor="text1"/>
          <w:sz w:val="20"/>
          <w:szCs w:val="20"/>
        </w:rPr>
        <w:t xml:space="preserve">però </w:t>
      </w:r>
      <w:r w:rsidRPr="00A45056">
        <w:rPr>
          <w:rFonts w:ascii="Verdana" w:hAnsi="Verdana"/>
          <w:color w:val="000000" w:themeColor="text1"/>
          <w:sz w:val="20"/>
          <w:szCs w:val="20"/>
        </w:rPr>
        <w:t>€ 968.918,91.</w:t>
      </w:r>
    </w:p>
    <w:p w:rsidR="00264DCB" w:rsidRPr="00A45056"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 xml:space="preserve">Il socio privato non aveva quindi liquidato, per cassa, € 304.999,21 (credito </w:t>
      </w:r>
      <w:r w:rsidR="009B594A" w:rsidRPr="00A45056">
        <w:rPr>
          <w:rFonts w:ascii="Verdana" w:hAnsi="Verdana"/>
          <w:color w:val="000000" w:themeColor="text1"/>
          <w:sz w:val="20"/>
          <w:szCs w:val="20"/>
        </w:rPr>
        <w:t>residuo</w:t>
      </w:r>
      <w:r w:rsidRPr="00A45056">
        <w:rPr>
          <w:rFonts w:ascii="Verdana" w:hAnsi="Verdana"/>
          <w:color w:val="000000" w:themeColor="text1"/>
          <w:sz w:val="20"/>
          <w:szCs w:val="20"/>
        </w:rPr>
        <w:t>).</w:t>
      </w:r>
    </w:p>
    <w:p w:rsidR="00264DCB" w:rsidRPr="00A45056" w:rsidRDefault="00DE1B1D">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Il CISS</w:t>
      </w:r>
      <w:r w:rsidR="000E7F3D" w:rsidRPr="00A45056">
        <w:rPr>
          <w:rFonts w:ascii="Verdana" w:hAnsi="Verdana"/>
          <w:color w:val="000000" w:themeColor="text1"/>
          <w:sz w:val="20"/>
          <w:szCs w:val="20"/>
        </w:rPr>
        <w:t>, con nota ricevuta da parte di SOCIGESS S.p.A.</w:t>
      </w:r>
      <w:r w:rsidR="00402694" w:rsidRPr="00A45056">
        <w:rPr>
          <w:rFonts w:ascii="Verdana" w:hAnsi="Verdana"/>
          <w:color w:val="000000" w:themeColor="text1"/>
          <w:sz w:val="20"/>
          <w:szCs w:val="20"/>
        </w:rPr>
        <w:t xml:space="preserve"> </w:t>
      </w:r>
      <w:r w:rsidR="000E7F3D" w:rsidRPr="00A45056">
        <w:rPr>
          <w:rFonts w:ascii="Verdana" w:hAnsi="Verdana"/>
          <w:color w:val="000000" w:themeColor="text1"/>
          <w:sz w:val="20"/>
          <w:szCs w:val="20"/>
        </w:rPr>
        <w:t xml:space="preserve">(ns. </w:t>
      </w:r>
      <w:proofErr w:type="spellStart"/>
      <w:proofErr w:type="gramStart"/>
      <w:r w:rsidR="000E7F3D" w:rsidRPr="00A45056">
        <w:rPr>
          <w:rFonts w:ascii="Verdana" w:hAnsi="Verdana"/>
          <w:color w:val="000000" w:themeColor="text1"/>
          <w:sz w:val="20"/>
          <w:szCs w:val="20"/>
        </w:rPr>
        <w:t>prot</w:t>
      </w:r>
      <w:proofErr w:type="spellEnd"/>
      <w:proofErr w:type="gramEnd"/>
      <w:r w:rsidR="000E7F3D" w:rsidRPr="00A45056">
        <w:rPr>
          <w:rFonts w:ascii="Verdana" w:hAnsi="Verdana"/>
          <w:color w:val="000000" w:themeColor="text1"/>
          <w:sz w:val="20"/>
          <w:szCs w:val="20"/>
        </w:rPr>
        <w:t xml:space="preserve">. n.789 del 18/03/2011) è stato indicato come responsabile in solido con il Comune di Sant’Arpino, della mancata apertura della sede farmaceutica di Sant’Arpino (CE) alla via Gemito in attuazione del procedimento di revisione della Pianta Organica da parte del comune di Sant’Arpino che ha modificato, in modo illegittimo nelle </w:t>
      </w:r>
      <w:r w:rsidRPr="00A45056">
        <w:rPr>
          <w:rFonts w:ascii="Verdana" w:hAnsi="Verdana"/>
          <w:color w:val="000000" w:themeColor="text1"/>
          <w:sz w:val="20"/>
          <w:szCs w:val="20"/>
        </w:rPr>
        <w:t>prospettazione</w:t>
      </w:r>
      <w:r w:rsidR="000E7F3D" w:rsidRPr="00A45056">
        <w:rPr>
          <w:rFonts w:ascii="Verdana" w:hAnsi="Verdana"/>
          <w:color w:val="000000" w:themeColor="text1"/>
          <w:sz w:val="20"/>
          <w:szCs w:val="20"/>
        </w:rPr>
        <w:t xml:space="preserve"> del socio privato, le circoscrizioni delle sedi farmaceutiche.</w:t>
      </w:r>
    </w:p>
    <w:p w:rsidR="00264DCB" w:rsidRPr="00A45056" w:rsidRDefault="000E7F3D">
      <w:pPr>
        <w:shd w:val="clear" w:color="auto" w:fill="FEFFFF"/>
        <w:spacing w:line="360" w:lineRule="auto"/>
        <w:ind w:firstLine="354"/>
        <w:jc w:val="both"/>
        <w:rPr>
          <w:rFonts w:ascii="Verdana" w:eastAsia="Verdana" w:hAnsi="Verdana" w:cs="Verdana"/>
          <w:color w:val="000000" w:themeColor="text1"/>
          <w:sz w:val="20"/>
          <w:szCs w:val="20"/>
          <w:u w:val="single"/>
        </w:rPr>
      </w:pPr>
      <w:r w:rsidRPr="00A45056">
        <w:rPr>
          <w:rFonts w:ascii="Verdana" w:hAnsi="Verdana"/>
          <w:color w:val="000000" w:themeColor="text1"/>
          <w:sz w:val="20"/>
          <w:szCs w:val="20"/>
        </w:rPr>
        <w:t xml:space="preserve">Il socio privato ha quindi intentato causa, </w:t>
      </w:r>
      <w:r w:rsidRPr="00A45056">
        <w:rPr>
          <w:rFonts w:ascii="Verdana" w:hAnsi="Verdana"/>
          <w:color w:val="000000" w:themeColor="text1"/>
          <w:sz w:val="20"/>
          <w:szCs w:val="20"/>
          <w:u w:val="single"/>
        </w:rPr>
        <w:t xml:space="preserve">invocando una responsabilità solidale del Consorzio ai sensi </w:t>
      </w:r>
      <w:r w:rsidR="003818BC" w:rsidRPr="00A45056">
        <w:rPr>
          <w:rFonts w:ascii="Verdana" w:hAnsi="Verdana"/>
          <w:color w:val="000000" w:themeColor="text1"/>
          <w:sz w:val="20"/>
          <w:szCs w:val="20"/>
          <w:u w:val="single"/>
        </w:rPr>
        <w:t>degli artt. 8 e 9</w:t>
      </w:r>
      <w:r w:rsidR="00CB4B1F" w:rsidRPr="00A45056">
        <w:rPr>
          <w:rFonts w:ascii="Verdana" w:hAnsi="Verdana"/>
          <w:color w:val="000000" w:themeColor="text1"/>
          <w:sz w:val="20"/>
          <w:szCs w:val="20"/>
          <w:u w:val="single"/>
        </w:rPr>
        <w:t xml:space="preserve"> </w:t>
      </w:r>
      <w:r w:rsidRPr="00A45056">
        <w:rPr>
          <w:rFonts w:ascii="Verdana" w:hAnsi="Verdana"/>
          <w:color w:val="000000" w:themeColor="text1"/>
          <w:sz w:val="20"/>
          <w:szCs w:val="20"/>
          <w:u w:val="single"/>
        </w:rPr>
        <w:t xml:space="preserve">dell’allora vigente convenzione. La causa è stata tratta in arbitrato </w:t>
      </w:r>
      <w:r w:rsidRPr="00A45056">
        <w:rPr>
          <w:rFonts w:ascii="Verdana" w:hAnsi="Verdana"/>
          <w:color w:val="000000" w:themeColor="text1"/>
          <w:sz w:val="20"/>
          <w:szCs w:val="20"/>
        </w:rPr>
        <w:t xml:space="preserve">(la </w:t>
      </w:r>
      <w:r w:rsidRPr="00A45056">
        <w:rPr>
          <w:rFonts w:ascii="Verdana" w:hAnsi="Verdana"/>
          <w:color w:val="000000" w:themeColor="text1"/>
          <w:sz w:val="20"/>
          <w:szCs w:val="20"/>
        </w:rPr>
        <w:lastRenderedPageBreak/>
        <w:t>vicenda è illustrata in maniera analitica al capitolo della relazione del Direttore Generale “</w:t>
      </w:r>
      <w:r w:rsidRPr="00A45056">
        <w:rPr>
          <w:rFonts w:ascii="Verdana" w:hAnsi="Verdana"/>
          <w:bCs/>
          <w:color w:val="000000" w:themeColor="text1"/>
          <w:sz w:val="20"/>
          <w:szCs w:val="20"/>
        </w:rPr>
        <w:t xml:space="preserve">Lodo Arbitrale tra C.I.SS e </w:t>
      </w:r>
      <w:r w:rsidR="003B4079" w:rsidRPr="00A45056">
        <w:rPr>
          <w:rFonts w:ascii="Verdana" w:hAnsi="Verdana"/>
          <w:bCs/>
          <w:color w:val="000000" w:themeColor="text1"/>
          <w:sz w:val="20"/>
          <w:szCs w:val="20"/>
        </w:rPr>
        <w:t>SOCIGESS</w:t>
      </w:r>
      <w:r w:rsidRPr="00A45056">
        <w:rPr>
          <w:rFonts w:ascii="Verdana" w:hAnsi="Verdana"/>
          <w:bCs/>
          <w:color w:val="000000" w:themeColor="text1"/>
          <w:sz w:val="20"/>
          <w:szCs w:val="20"/>
        </w:rPr>
        <w:t xml:space="preserve"> S.p.A</w:t>
      </w:r>
      <w:r w:rsidRPr="00A45056">
        <w:rPr>
          <w:rFonts w:ascii="Verdana" w:hAnsi="Verdana"/>
          <w:color w:val="000000" w:themeColor="text1"/>
          <w:sz w:val="20"/>
          <w:szCs w:val="20"/>
        </w:rPr>
        <w:t>.”)</w:t>
      </w:r>
      <w:r w:rsidRPr="00A45056">
        <w:rPr>
          <w:rFonts w:ascii="Verdana" w:hAnsi="Verdana"/>
          <w:color w:val="000000" w:themeColor="text1"/>
          <w:sz w:val="20"/>
          <w:szCs w:val="20"/>
          <w:u w:val="single"/>
        </w:rPr>
        <w:t xml:space="preserve">, in base alla </w:t>
      </w:r>
      <w:r w:rsidRPr="00A45056">
        <w:rPr>
          <w:rFonts w:ascii="Verdana" w:hAnsi="Verdana"/>
          <w:bCs/>
          <w:color w:val="000000" w:themeColor="text1"/>
          <w:sz w:val="20"/>
          <w:szCs w:val="20"/>
          <w:u w:val="single"/>
        </w:rPr>
        <w:t xml:space="preserve">clausola compromissoria contenuta nell’originario </w:t>
      </w:r>
      <w:r w:rsidR="00CB4B1F" w:rsidRPr="00A45056">
        <w:rPr>
          <w:rFonts w:ascii="Verdana" w:hAnsi="Verdana"/>
          <w:bCs/>
          <w:color w:val="000000" w:themeColor="text1"/>
          <w:sz w:val="20"/>
          <w:szCs w:val="20"/>
          <w:u w:val="single"/>
        </w:rPr>
        <w:t xml:space="preserve">contratto </w:t>
      </w:r>
      <w:r w:rsidRPr="00A45056">
        <w:rPr>
          <w:rFonts w:ascii="Verdana" w:hAnsi="Verdana"/>
          <w:bCs/>
          <w:color w:val="000000" w:themeColor="text1"/>
          <w:sz w:val="20"/>
          <w:szCs w:val="20"/>
          <w:u w:val="single"/>
        </w:rPr>
        <w:t>di servizio</w:t>
      </w:r>
      <w:r w:rsidRPr="00A45056">
        <w:rPr>
          <w:rFonts w:ascii="Verdana" w:hAnsi="Verdana"/>
          <w:color w:val="000000" w:themeColor="text1"/>
          <w:sz w:val="20"/>
          <w:szCs w:val="20"/>
          <w:u w:val="single"/>
        </w:rPr>
        <w:t xml:space="preserve"> </w:t>
      </w:r>
      <w:r w:rsidR="00CB4B1F" w:rsidRPr="00A45056">
        <w:rPr>
          <w:rFonts w:ascii="Verdana" w:hAnsi="Verdana"/>
          <w:bCs/>
          <w:color w:val="000000" w:themeColor="text1"/>
          <w:sz w:val="20"/>
          <w:szCs w:val="20"/>
          <w:u w:val="single"/>
        </w:rPr>
        <w:t>e poi replicata nei successivi</w:t>
      </w:r>
      <w:r w:rsidR="00CB4B1F" w:rsidRPr="00A45056">
        <w:rPr>
          <w:rFonts w:ascii="Verdana" w:hAnsi="Verdana"/>
          <w:b/>
          <w:bCs/>
          <w:color w:val="000000" w:themeColor="text1"/>
          <w:sz w:val="20"/>
          <w:szCs w:val="20"/>
          <w:u w:val="single"/>
        </w:rPr>
        <w:t xml:space="preserve"> </w:t>
      </w:r>
      <w:r w:rsidRPr="00A45056">
        <w:rPr>
          <w:rFonts w:ascii="Verdana" w:hAnsi="Verdana"/>
          <w:color w:val="000000" w:themeColor="text1"/>
          <w:sz w:val="20"/>
          <w:szCs w:val="20"/>
        </w:rPr>
        <w:t>(art. 14 dell’allora vigente</w:t>
      </w:r>
      <w:r w:rsidR="00EA5B78" w:rsidRPr="00A45056">
        <w:rPr>
          <w:rFonts w:ascii="Verdana" w:hAnsi="Verdana"/>
          <w:color w:val="000000" w:themeColor="text1"/>
          <w:sz w:val="20"/>
          <w:szCs w:val="20"/>
        </w:rPr>
        <w:t xml:space="preserve"> </w:t>
      </w:r>
      <w:r w:rsidR="009B594A" w:rsidRPr="00A45056">
        <w:rPr>
          <w:rFonts w:ascii="Verdana" w:hAnsi="Verdana"/>
          <w:color w:val="000000" w:themeColor="text1"/>
          <w:sz w:val="20"/>
          <w:szCs w:val="20"/>
        </w:rPr>
        <w:t xml:space="preserve">contratto di servizio </w:t>
      </w:r>
      <w:proofErr w:type="spellStart"/>
      <w:r w:rsidRPr="00A45056">
        <w:rPr>
          <w:rFonts w:ascii="Verdana" w:hAnsi="Verdana"/>
          <w:color w:val="000000" w:themeColor="text1"/>
          <w:sz w:val="20"/>
          <w:szCs w:val="20"/>
        </w:rPr>
        <w:t>prot</w:t>
      </w:r>
      <w:proofErr w:type="spellEnd"/>
      <w:r w:rsidRPr="00A45056">
        <w:rPr>
          <w:rFonts w:ascii="Verdana" w:hAnsi="Verdana"/>
          <w:color w:val="000000" w:themeColor="text1"/>
          <w:sz w:val="20"/>
          <w:szCs w:val="20"/>
        </w:rPr>
        <w:t>. CISS n. 356 del 30/11/2007)</w:t>
      </w:r>
      <w:r w:rsidRPr="00A45056">
        <w:rPr>
          <w:rFonts w:ascii="Verdana" w:hAnsi="Verdana"/>
          <w:color w:val="000000" w:themeColor="text1"/>
          <w:sz w:val="20"/>
          <w:szCs w:val="20"/>
          <w:u w:val="single"/>
        </w:rPr>
        <w:t xml:space="preserve">, </w:t>
      </w:r>
      <w:r w:rsidR="00413E97" w:rsidRPr="00A45056">
        <w:rPr>
          <w:rFonts w:ascii="Verdana" w:hAnsi="Verdana"/>
          <w:color w:val="000000" w:themeColor="text1"/>
          <w:sz w:val="20"/>
          <w:szCs w:val="20"/>
          <w:u w:val="single"/>
        </w:rPr>
        <w:t>e nella</w:t>
      </w:r>
      <w:r w:rsidR="008E36D6" w:rsidRPr="00A45056">
        <w:rPr>
          <w:rFonts w:ascii="Verdana" w:hAnsi="Verdana"/>
          <w:color w:val="000000" w:themeColor="text1"/>
          <w:sz w:val="20"/>
          <w:szCs w:val="20"/>
          <w:u w:val="single"/>
        </w:rPr>
        <w:t xml:space="preserve"> bozza di statuto allegata all’originario bando di gara (art. IX dello statuto in parola, rubricato "controversie", che all'uopo disponeva: </w:t>
      </w:r>
      <w:r w:rsidR="00984B94" w:rsidRPr="00A45056">
        <w:rPr>
          <w:rFonts w:ascii="Verdana" w:hAnsi="Verdana"/>
          <w:color w:val="000000" w:themeColor="text1"/>
          <w:sz w:val="20"/>
          <w:szCs w:val="20"/>
          <w:u w:val="single"/>
        </w:rPr>
        <w:t>«</w:t>
      </w:r>
      <w:r w:rsidR="008E36D6" w:rsidRPr="00A45056">
        <w:rPr>
          <w:rFonts w:ascii="Verdana" w:hAnsi="Verdana"/>
          <w:i/>
          <w:color w:val="000000" w:themeColor="text1"/>
          <w:sz w:val="20"/>
          <w:szCs w:val="20"/>
          <w:u w:val="single"/>
        </w:rPr>
        <w:t>per qualsiasi controversia che dovesse insorgere tra i soci e/o tra quest'ultimi e la società</w:t>
      </w:r>
      <w:r w:rsidR="008E36D6" w:rsidRPr="00A45056">
        <w:rPr>
          <w:rFonts w:ascii="Verdana" w:hAnsi="Verdana"/>
          <w:color w:val="000000" w:themeColor="text1"/>
          <w:sz w:val="20"/>
          <w:szCs w:val="20"/>
          <w:u w:val="single"/>
        </w:rPr>
        <w:t xml:space="preserve"> [...] </w:t>
      </w:r>
      <w:r w:rsidR="008E36D6" w:rsidRPr="00A45056">
        <w:rPr>
          <w:rFonts w:ascii="Verdana" w:hAnsi="Verdana"/>
          <w:i/>
          <w:color w:val="000000" w:themeColor="text1"/>
          <w:sz w:val="20"/>
          <w:szCs w:val="20"/>
          <w:u w:val="single"/>
        </w:rPr>
        <w:t xml:space="preserve">sarà espressamente competente un collegio arbitrale che giudicherà. </w:t>
      </w:r>
      <w:proofErr w:type="gramStart"/>
      <w:r w:rsidR="008E36D6" w:rsidRPr="00A45056">
        <w:rPr>
          <w:rFonts w:ascii="Verdana" w:hAnsi="Verdana"/>
          <w:i/>
          <w:color w:val="000000" w:themeColor="text1"/>
          <w:sz w:val="20"/>
          <w:szCs w:val="20"/>
          <w:u w:val="single"/>
        </w:rPr>
        <w:t>secondo</w:t>
      </w:r>
      <w:proofErr w:type="gramEnd"/>
      <w:r w:rsidR="008E36D6" w:rsidRPr="00A45056">
        <w:rPr>
          <w:rFonts w:ascii="Verdana" w:hAnsi="Verdana"/>
          <w:i/>
          <w:color w:val="000000" w:themeColor="text1"/>
          <w:sz w:val="20"/>
          <w:szCs w:val="20"/>
          <w:u w:val="single"/>
        </w:rPr>
        <w:t xml:space="preserve"> diritto nel rispetto delle regole di cui al codice di rito</w:t>
      </w:r>
      <w:r w:rsidR="00984B94" w:rsidRPr="00A45056">
        <w:rPr>
          <w:rFonts w:ascii="Verdana" w:hAnsi="Verdana"/>
          <w:color w:val="000000" w:themeColor="text1"/>
          <w:sz w:val="20"/>
          <w:szCs w:val="20"/>
          <w:u w:val="single"/>
        </w:rPr>
        <w:t xml:space="preserve"> [...]»</w:t>
      </w:r>
      <w:r w:rsidR="008E36D6" w:rsidRPr="00A45056">
        <w:rPr>
          <w:rFonts w:ascii="Verdana" w:hAnsi="Verdana"/>
          <w:color w:val="000000" w:themeColor="text1"/>
          <w:sz w:val="20"/>
          <w:szCs w:val="20"/>
          <w:u w:val="single"/>
        </w:rPr>
        <w:t>)</w:t>
      </w:r>
      <w:r w:rsidRPr="00A45056">
        <w:rPr>
          <w:rFonts w:ascii="Verdana" w:hAnsi="Verdana"/>
          <w:bCs/>
          <w:color w:val="000000" w:themeColor="text1"/>
          <w:sz w:val="20"/>
          <w:szCs w:val="20"/>
          <w:u w:val="single"/>
        </w:rPr>
        <w:t>.</w:t>
      </w:r>
      <w:r w:rsidR="0054237D" w:rsidRPr="00A45056">
        <w:rPr>
          <w:rFonts w:ascii="Verdana" w:hAnsi="Verdana"/>
          <w:b/>
          <w:bCs/>
          <w:color w:val="000000" w:themeColor="text1"/>
          <w:sz w:val="20"/>
          <w:szCs w:val="20"/>
          <w:u w:val="single"/>
        </w:rPr>
        <w:t xml:space="preserve"> </w:t>
      </w:r>
    </w:p>
    <w:p w:rsidR="00264DCB" w:rsidRPr="00A45056"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 xml:space="preserve">Ai sensi dell’art. 8 comma 2 </w:t>
      </w:r>
      <w:r w:rsidR="009B594A" w:rsidRPr="00A45056">
        <w:rPr>
          <w:rFonts w:ascii="Verdana" w:hAnsi="Verdana"/>
          <w:color w:val="000000" w:themeColor="text1"/>
          <w:sz w:val="20"/>
          <w:szCs w:val="20"/>
        </w:rPr>
        <w:t xml:space="preserve">del </w:t>
      </w:r>
      <w:r w:rsidRPr="00A45056">
        <w:rPr>
          <w:rFonts w:ascii="Verdana" w:hAnsi="Verdana"/>
          <w:color w:val="000000" w:themeColor="text1"/>
          <w:sz w:val="20"/>
          <w:szCs w:val="20"/>
        </w:rPr>
        <w:t xml:space="preserve">contratto di servizio del 30 novembre 2011, </w:t>
      </w:r>
      <w:proofErr w:type="spellStart"/>
      <w:r w:rsidRPr="00A45056">
        <w:rPr>
          <w:rFonts w:ascii="Verdana" w:hAnsi="Verdana"/>
          <w:color w:val="000000" w:themeColor="text1"/>
          <w:sz w:val="20"/>
          <w:szCs w:val="20"/>
        </w:rPr>
        <w:t>prot</w:t>
      </w:r>
      <w:proofErr w:type="spellEnd"/>
      <w:r w:rsidRPr="00A45056">
        <w:rPr>
          <w:rFonts w:ascii="Verdana" w:hAnsi="Verdana"/>
          <w:color w:val="000000" w:themeColor="text1"/>
          <w:sz w:val="20"/>
          <w:szCs w:val="20"/>
        </w:rPr>
        <w:t>. CISS 356, «</w:t>
      </w:r>
      <w:r w:rsidRPr="00A45056">
        <w:rPr>
          <w:rFonts w:ascii="Verdana" w:hAnsi="Verdana"/>
          <w:i/>
          <w:iCs/>
          <w:color w:val="000000" w:themeColor="text1"/>
          <w:sz w:val="20"/>
          <w:szCs w:val="20"/>
        </w:rPr>
        <w:t xml:space="preserve">Il Consorzio è obbligato a porre in essere tutto quanto rientra nei suoi poteri per il raggiungimento degli obiettivi per i quali è stato costituito ed </w:t>
      </w:r>
      <w:r w:rsidRPr="00A45056">
        <w:rPr>
          <w:rFonts w:ascii="Verdana" w:hAnsi="Verdana"/>
          <w:i/>
          <w:iCs/>
          <w:color w:val="000000" w:themeColor="text1"/>
          <w:sz w:val="20"/>
          <w:szCs w:val="20"/>
          <w:u w:val="single"/>
        </w:rPr>
        <w:t>in funzione dei quali il soggetto affidatario ha partecipato alla gara dallo stesso bandita, a tutela degli interessi generali del Consorzio e del soggetto gestore</w:t>
      </w:r>
      <w:r w:rsidRPr="00A45056">
        <w:rPr>
          <w:rFonts w:ascii="Verdana" w:hAnsi="Verdana"/>
          <w:color w:val="000000" w:themeColor="text1"/>
          <w:sz w:val="20"/>
          <w:szCs w:val="20"/>
        </w:rPr>
        <w:t>».</w:t>
      </w:r>
    </w:p>
    <w:p w:rsidR="00264DCB" w:rsidRPr="00A45056" w:rsidRDefault="004127B5">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I</w:t>
      </w:r>
      <w:r w:rsidR="000E7F3D" w:rsidRPr="00A45056">
        <w:rPr>
          <w:rFonts w:ascii="Verdana" w:hAnsi="Verdana"/>
          <w:color w:val="000000" w:themeColor="text1"/>
          <w:sz w:val="20"/>
          <w:szCs w:val="20"/>
        </w:rPr>
        <w:t>l lodo dà totalmente per scontato il passaggio logico della sussistenza dei presupposti della responsabilità solidale ai sensi degli artt. 8 e 9 del contratto di servizio</w:t>
      </w:r>
      <w:r w:rsidR="00167B7D" w:rsidRPr="00A45056">
        <w:rPr>
          <w:rFonts w:ascii="Verdana" w:hAnsi="Verdana"/>
          <w:color w:val="000000" w:themeColor="text1"/>
          <w:sz w:val="20"/>
          <w:szCs w:val="20"/>
        </w:rPr>
        <w:t xml:space="preserve">, </w:t>
      </w:r>
      <w:r w:rsidR="000E7F3D" w:rsidRPr="00A45056">
        <w:rPr>
          <w:rFonts w:ascii="Verdana" w:hAnsi="Verdana"/>
          <w:color w:val="000000" w:themeColor="text1"/>
          <w:sz w:val="20"/>
          <w:szCs w:val="20"/>
        </w:rPr>
        <w:t xml:space="preserve">limitandosi a disquisire del </w:t>
      </w:r>
      <w:r w:rsidR="000E7F3D" w:rsidRPr="00A45056">
        <w:rPr>
          <w:rFonts w:ascii="Verdana" w:hAnsi="Verdana"/>
          <w:bCs/>
          <w:color w:val="000000" w:themeColor="text1"/>
          <w:sz w:val="20"/>
          <w:szCs w:val="20"/>
          <w:u w:val="single"/>
        </w:rPr>
        <w:t>quantum del danno</w:t>
      </w:r>
      <w:r w:rsidR="000E7F3D" w:rsidRPr="00A45056">
        <w:rPr>
          <w:rFonts w:ascii="Verdana" w:hAnsi="Verdana"/>
          <w:color w:val="000000" w:themeColor="text1"/>
          <w:sz w:val="20"/>
          <w:szCs w:val="20"/>
        </w:rPr>
        <w:t>, leggermente ridotto rispetto alle pretese del socio privato</w:t>
      </w:r>
      <w:r w:rsidR="008833F0" w:rsidRPr="00A45056">
        <w:rPr>
          <w:rFonts w:ascii="Verdana" w:hAnsi="Verdana"/>
          <w:color w:val="000000" w:themeColor="text1"/>
          <w:sz w:val="20"/>
          <w:szCs w:val="20"/>
        </w:rPr>
        <w:t>.</w:t>
      </w:r>
      <w:r w:rsidR="000E7F3D" w:rsidRPr="00A45056">
        <w:rPr>
          <w:rFonts w:ascii="Verdana" w:hAnsi="Verdana"/>
          <w:color w:val="000000" w:themeColor="text1"/>
          <w:sz w:val="20"/>
          <w:szCs w:val="20"/>
        </w:rPr>
        <w:t xml:space="preserve"> </w:t>
      </w:r>
    </w:p>
    <w:p w:rsidR="00264DCB" w:rsidRPr="00A45056" w:rsidRDefault="00264DCB">
      <w:pPr>
        <w:shd w:val="clear" w:color="auto" w:fill="FEFFFF"/>
        <w:spacing w:line="360" w:lineRule="auto"/>
        <w:ind w:firstLine="354"/>
        <w:jc w:val="both"/>
        <w:rPr>
          <w:rFonts w:ascii="Verdana" w:eastAsia="Verdana" w:hAnsi="Verdana" w:cs="Verdana"/>
          <w:b/>
          <w:bCs/>
          <w:color w:val="000000" w:themeColor="text1"/>
          <w:sz w:val="20"/>
          <w:szCs w:val="20"/>
        </w:rPr>
      </w:pPr>
    </w:p>
    <w:p w:rsidR="00264DCB" w:rsidRPr="00A45056" w:rsidRDefault="000E7F3D">
      <w:pPr>
        <w:widowControl w:val="0"/>
        <w:shd w:val="clear" w:color="auto" w:fill="FEFFFF"/>
        <w:spacing w:line="360" w:lineRule="auto"/>
        <w:ind w:firstLine="354"/>
        <w:jc w:val="both"/>
        <w:rPr>
          <w:rFonts w:ascii="Verdana" w:eastAsia="Verdana" w:hAnsi="Verdana" w:cs="Verdana"/>
          <w:b/>
          <w:bCs/>
          <w:color w:val="000000" w:themeColor="text1"/>
          <w:sz w:val="20"/>
          <w:szCs w:val="20"/>
        </w:rPr>
      </w:pPr>
      <w:r w:rsidRPr="00A45056">
        <w:rPr>
          <w:rFonts w:ascii="Verdana" w:hAnsi="Verdana"/>
          <w:color w:val="000000" w:themeColor="text1"/>
          <w:sz w:val="20"/>
          <w:szCs w:val="20"/>
        </w:rPr>
        <w:t>Tabella E. Fonte: relazione su vicenda lodo arbitrale allegata a relazione generale del Direttore generale del CISS</w:t>
      </w:r>
    </w:p>
    <w:tbl>
      <w:tblPr>
        <w:tblStyle w:val="TableNormal"/>
        <w:tblW w:w="952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85"/>
        <w:gridCol w:w="2612"/>
        <w:gridCol w:w="1966"/>
        <w:gridCol w:w="1966"/>
      </w:tblGrid>
      <w:tr w:rsidR="00264DCB" w:rsidRPr="00863829" w:rsidTr="00863829">
        <w:trPr>
          <w:trHeight w:val="290"/>
        </w:trPr>
        <w:tc>
          <w:tcPr>
            <w:tcW w:w="298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863829" w:rsidRDefault="00264DCB">
            <w:pPr>
              <w:rPr>
                <w:color w:val="000000" w:themeColor="text1"/>
                <w:sz w:val="20"/>
              </w:rPr>
            </w:pPr>
          </w:p>
        </w:tc>
        <w:tc>
          <w:tcPr>
            <w:tcW w:w="261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264DCB" w:rsidRPr="00863829" w:rsidRDefault="000E7F3D">
            <w:pPr>
              <w:rPr>
                <w:color w:val="000000" w:themeColor="text1"/>
                <w:sz w:val="20"/>
              </w:rPr>
            </w:pPr>
            <w:proofErr w:type="gramStart"/>
            <w:r w:rsidRPr="00863829">
              <w:rPr>
                <w:rFonts w:ascii="Calibri"/>
                <w:color w:val="000000" w:themeColor="text1"/>
                <w:sz w:val="20"/>
              </w:rPr>
              <w:t>danno</w:t>
            </w:r>
            <w:proofErr w:type="gramEnd"/>
            <w:r w:rsidRPr="00863829">
              <w:rPr>
                <w:rFonts w:ascii="Calibri"/>
                <w:color w:val="000000" w:themeColor="text1"/>
                <w:sz w:val="20"/>
              </w:rPr>
              <w:t xml:space="preserve"> emergente</w:t>
            </w:r>
          </w:p>
        </w:tc>
        <w:tc>
          <w:tcPr>
            <w:tcW w:w="19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264DCB" w:rsidRPr="00863829" w:rsidRDefault="000E7F3D">
            <w:pPr>
              <w:rPr>
                <w:color w:val="000000" w:themeColor="text1"/>
                <w:sz w:val="20"/>
              </w:rPr>
            </w:pPr>
            <w:proofErr w:type="gramStart"/>
            <w:r w:rsidRPr="00863829">
              <w:rPr>
                <w:rFonts w:ascii="Calibri"/>
                <w:color w:val="000000" w:themeColor="text1"/>
                <w:sz w:val="20"/>
              </w:rPr>
              <w:t>lucro</w:t>
            </w:r>
            <w:proofErr w:type="gramEnd"/>
            <w:r w:rsidRPr="00863829">
              <w:rPr>
                <w:rFonts w:ascii="Calibri"/>
                <w:color w:val="000000" w:themeColor="text1"/>
                <w:sz w:val="20"/>
              </w:rPr>
              <w:t xml:space="preserve"> cessante</w:t>
            </w:r>
          </w:p>
        </w:tc>
        <w:tc>
          <w:tcPr>
            <w:tcW w:w="19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264DCB" w:rsidRPr="00863829" w:rsidRDefault="000E7F3D">
            <w:pPr>
              <w:rPr>
                <w:color w:val="000000" w:themeColor="text1"/>
                <w:sz w:val="20"/>
              </w:rPr>
            </w:pPr>
            <w:proofErr w:type="gramStart"/>
            <w:r w:rsidRPr="00863829">
              <w:rPr>
                <w:rFonts w:ascii="Calibri"/>
                <w:color w:val="000000" w:themeColor="text1"/>
                <w:sz w:val="20"/>
              </w:rPr>
              <w:t>totale</w:t>
            </w:r>
            <w:proofErr w:type="gramEnd"/>
            <w:r w:rsidRPr="00863829">
              <w:rPr>
                <w:rFonts w:ascii="Calibri"/>
                <w:color w:val="000000" w:themeColor="text1"/>
                <w:sz w:val="20"/>
              </w:rPr>
              <w:t xml:space="preserve"> danno </w:t>
            </w:r>
          </w:p>
        </w:tc>
      </w:tr>
      <w:tr w:rsidR="00264DCB" w:rsidRPr="00863829" w:rsidTr="00863829">
        <w:trPr>
          <w:trHeight w:val="300"/>
        </w:trPr>
        <w:tc>
          <w:tcPr>
            <w:tcW w:w="2985"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rsidR="00264DCB" w:rsidRPr="00863829" w:rsidRDefault="000E7F3D">
            <w:pPr>
              <w:rPr>
                <w:color w:val="000000" w:themeColor="text1"/>
                <w:sz w:val="20"/>
              </w:rPr>
            </w:pPr>
            <w:proofErr w:type="gramStart"/>
            <w:r w:rsidRPr="00863829">
              <w:rPr>
                <w:rFonts w:ascii="Calibri"/>
                <w:color w:val="000000" w:themeColor="text1"/>
                <w:sz w:val="20"/>
              </w:rPr>
              <w:t>richieste</w:t>
            </w:r>
            <w:proofErr w:type="gramEnd"/>
            <w:r w:rsidRPr="00863829">
              <w:rPr>
                <w:rFonts w:ascii="Calibri"/>
                <w:color w:val="000000" w:themeColor="text1"/>
                <w:sz w:val="20"/>
              </w:rPr>
              <w:t xml:space="preserve"> </w:t>
            </w:r>
            <w:r w:rsidR="003B4079">
              <w:rPr>
                <w:rFonts w:ascii="Calibri"/>
                <w:color w:val="000000" w:themeColor="text1"/>
                <w:sz w:val="20"/>
              </w:rPr>
              <w:t>SOCIGESS</w:t>
            </w:r>
          </w:p>
        </w:tc>
        <w:tc>
          <w:tcPr>
            <w:tcW w:w="2612"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251.724,00 </w:t>
            </w:r>
          </w:p>
        </w:tc>
        <w:tc>
          <w:tcPr>
            <w:tcW w:w="196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140.000,00 </w:t>
            </w:r>
          </w:p>
        </w:tc>
        <w:tc>
          <w:tcPr>
            <w:tcW w:w="196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391.724,00 </w:t>
            </w:r>
          </w:p>
        </w:tc>
      </w:tr>
      <w:tr w:rsidR="00264DCB" w:rsidRPr="00863829" w:rsidTr="00863829">
        <w:trPr>
          <w:trHeight w:val="300"/>
        </w:trPr>
        <w:tc>
          <w:tcPr>
            <w:tcW w:w="298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863829" w:rsidRDefault="000E7F3D">
            <w:pPr>
              <w:rPr>
                <w:color w:val="000000" w:themeColor="text1"/>
                <w:sz w:val="20"/>
              </w:rPr>
            </w:pPr>
            <w:proofErr w:type="gramStart"/>
            <w:r w:rsidRPr="00863829">
              <w:rPr>
                <w:rFonts w:ascii="Calibri"/>
                <w:color w:val="000000" w:themeColor="text1"/>
                <w:sz w:val="20"/>
              </w:rPr>
              <w:t>pro</w:t>
            </w:r>
            <w:proofErr w:type="gramEnd"/>
            <w:r w:rsidRPr="00863829">
              <w:rPr>
                <w:rFonts w:ascii="Calibri"/>
                <w:color w:val="000000" w:themeColor="text1"/>
                <w:sz w:val="20"/>
              </w:rPr>
              <w:t xml:space="preserve"> quota INCOFARMA</w:t>
            </w:r>
          </w:p>
        </w:tc>
        <w:tc>
          <w:tcPr>
            <w:tcW w:w="261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188.793,00 </w:t>
            </w:r>
          </w:p>
        </w:tc>
        <w:tc>
          <w:tcPr>
            <w:tcW w:w="19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105.000,00 </w:t>
            </w:r>
          </w:p>
        </w:tc>
        <w:tc>
          <w:tcPr>
            <w:tcW w:w="19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293.793,00 </w:t>
            </w:r>
          </w:p>
        </w:tc>
      </w:tr>
      <w:tr w:rsidR="00264DCB" w:rsidRPr="00863829" w:rsidTr="00863829">
        <w:trPr>
          <w:trHeight w:val="300"/>
        </w:trPr>
        <w:tc>
          <w:tcPr>
            <w:tcW w:w="2985"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rsidR="00264DCB" w:rsidRPr="00863829" w:rsidRDefault="000E7F3D">
            <w:pPr>
              <w:rPr>
                <w:color w:val="000000" w:themeColor="text1"/>
                <w:sz w:val="20"/>
              </w:rPr>
            </w:pPr>
            <w:r w:rsidRPr="00863829">
              <w:rPr>
                <w:rFonts w:ascii="Calibri"/>
                <w:color w:val="000000" w:themeColor="text1"/>
                <w:sz w:val="20"/>
              </w:rPr>
              <w:t>Lodo arbitrale</w:t>
            </w:r>
          </w:p>
        </w:tc>
        <w:tc>
          <w:tcPr>
            <w:tcW w:w="2612"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226.667,00 </w:t>
            </w:r>
          </w:p>
        </w:tc>
        <w:tc>
          <w:tcPr>
            <w:tcW w:w="196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140.000,00 </w:t>
            </w:r>
          </w:p>
        </w:tc>
        <w:tc>
          <w:tcPr>
            <w:tcW w:w="196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366.667,00 </w:t>
            </w:r>
          </w:p>
        </w:tc>
      </w:tr>
      <w:tr w:rsidR="00264DCB" w:rsidRPr="00863829" w:rsidTr="00863829">
        <w:trPr>
          <w:trHeight w:val="295"/>
        </w:trPr>
        <w:tc>
          <w:tcPr>
            <w:tcW w:w="2985"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264DCB" w:rsidRPr="00863829" w:rsidRDefault="000C6B0D">
            <w:pPr>
              <w:rPr>
                <w:color w:val="000000" w:themeColor="text1"/>
                <w:sz w:val="20"/>
              </w:rPr>
            </w:pPr>
            <w:r w:rsidRPr="00863829">
              <w:rPr>
                <w:rFonts w:ascii="Calibri"/>
                <w:color w:val="000000" w:themeColor="text1"/>
                <w:sz w:val="20"/>
              </w:rPr>
              <w:t>D</w:t>
            </w:r>
            <w:r w:rsidR="000E7F3D" w:rsidRPr="00863829">
              <w:rPr>
                <w:rFonts w:ascii="Calibri"/>
                <w:color w:val="000000" w:themeColor="text1"/>
                <w:sz w:val="20"/>
              </w:rPr>
              <w:t>ifferenza</w:t>
            </w:r>
          </w:p>
        </w:tc>
        <w:tc>
          <w:tcPr>
            <w:tcW w:w="2612"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25.057,00 </w:t>
            </w:r>
          </w:p>
        </w:tc>
        <w:tc>
          <w:tcPr>
            <w:tcW w:w="1966" w:type="dxa"/>
            <w:tcBorders>
              <w:top w:val="nil"/>
              <w:left w:val="nil"/>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   </w:t>
            </w:r>
          </w:p>
        </w:tc>
        <w:tc>
          <w:tcPr>
            <w:tcW w:w="1966" w:type="dxa"/>
            <w:tcBorders>
              <w:top w:val="nil"/>
              <w:left w:val="nil"/>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color w:val="000000" w:themeColor="text1"/>
                <w:sz w:val="20"/>
              </w:rPr>
              <w:t xml:space="preserve"> € </w:t>
            </w:r>
            <w:r w:rsidRPr="00863829">
              <w:rPr>
                <w:color w:val="000000" w:themeColor="text1"/>
                <w:sz w:val="20"/>
              </w:rPr>
              <w:t xml:space="preserve">25.057,00 </w:t>
            </w:r>
          </w:p>
        </w:tc>
      </w:tr>
      <w:tr w:rsidR="00264DCB" w:rsidRPr="00863829" w:rsidTr="00863829">
        <w:trPr>
          <w:trHeight w:val="570"/>
        </w:trPr>
        <w:tc>
          <w:tcPr>
            <w:tcW w:w="2985"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264DCB" w:rsidRPr="00863829" w:rsidRDefault="000E7F3D">
            <w:pPr>
              <w:rPr>
                <w:color w:val="000000" w:themeColor="text1"/>
                <w:sz w:val="20"/>
              </w:rPr>
            </w:pPr>
            <w:r w:rsidRPr="00863829">
              <w:rPr>
                <w:rFonts w:ascii="Calibri"/>
                <w:b/>
                <w:bCs/>
                <w:color w:val="000000" w:themeColor="text1"/>
                <w:sz w:val="20"/>
              </w:rPr>
              <w:t>Condanna pro quota (75%) INCOFARMA</w:t>
            </w:r>
          </w:p>
        </w:tc>
        <w:tc>
          <w:tcPr>
            <w:tcW w:w="2612"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b/>
                <w:bCs/>
                <w:color w:val="000000" w:themeColor="text1"/>
                <w:sz w:val="20"/>
              </w:rPr>
              <w:t xml:space="preserve"> € </w:t>
            </w:r>
            <w:r w:rsidRPr="00863829">
              <w:rPr>
                <w:b/>
                <w:bCs/>
                <w:color w:val="000000" w:themeColor="text1"/>
                <w:sz w:val="20"/>
              </w:rPr>
              <w:t xml:space="preserve">170.000,25 </w:t>
            </w:r>
          </w:p>
        </w:tc>
        <w:tc>
          <w:tcPr>
            <w:tcW w:w="1966" w:type="dxa"/>
            <w:tcBorders>
              <w:top w:val="nil"/>
              <w:left w:val="nil"/>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b/>
                <w:bCs/>
                <w:color w:val="000000" w:themeColor="text1"/>
                <w:sz w:val="20"/>
              </w:rPr>
              <w:t xml:space="preserve"> € </w:t>
            </w:r>
            <w:r w:rsidRPr="00863829">
              <w:rPr>
                <w:b/>
                <w:bCs/>
                <w:color w:val="000000" w:themeColor="text1"/>
                <w:sz w:val="20"/>
              </w:rPr>
              <w:t xml:space="preserve">105.000,00 </w:t>
            </w:r>
          </w:p>
        </w:tc>
        <w:tc>
          <w:tcPr>
            <w:tcW w:w="1966" w:type="dxa"/>
            <w:tcBorders>
              <w:top w:val="nil"/>
              <w:left w:val="nil"/>
              <w:bottom w:val="nil"/>
              <w:right w:val="nil"/>
            </w:tcBorders>
            <w:shd w:val="clear" w:color="auto" w:fill="auto"/>
            <w:tcMar>
              <w:top w:w="80" w:type="dxa"/>
              <w:left w:w="80" w:type="dxa"/>
              <w:bottom w:w="80" w:type="dxa"/>
              <w:right w:w="80" w:type="dxa"/>
            </w:tcMar>
            <w:vAlign w:val="bottom"/>
          </w:tcPr>
          <w:p w:rsidR="00264DCB" w:rsidRPr="00863829" w:rsidRDefault="000E7F3D">
            <w:pPr>
              <w:jc w:val="right"/>
              <w:rPr>
                <w:color w:val="000000" w:themeColor="text1"/>
                <w:sz w:val="20"/>
              </w:rPr>
            </w:pPr>
            <w:r w:rsidRPr="00863829">
              <w:rPr>
                <w:rFonts w:hAnsi="Times New Roman"/>
                <w:b/>
                <w:bCs/>
                <w:color w:val="000000" w:themeColor="text1"/>
                <w:sz w:val="20"/>
              </w:rPr>
              <w:t xml:space="preserve"> € </w:t>
            </w:r>
            <w:r w:rsidRPr="00863829">
              <w:rPr>
                <w:b/>
                <w:bCs/>
                <w:color w:val="000000" w:themeColor="text1"/>
                <w:sz w:val="20"/>
              </w:rPr>
              <w:t xml:space="preserve">275.000,25 </w:t>
            </w:r>
          </w:p>
        </w:tc>
      </w:tr>
    </w:tbl>
    <w:p w:rsidR="00264DCB" w:rsidRPr="00F63A96" w:rsidRDefault="00264DCB">
      <w:pPr>
        <w:widowControl w:val="0"/>
        <w:shd w:val="clear" w:color="auto" w:fill="FEFFFF"/>
        <w:ind w:firstLine="354"/>
        <w:jc w:val="both"/>
        <w:rPr>
          <w:rFonts w:ascii="Verdana" w:eastAsia="Verdana" w:hAnsi="Verdana" w:cs="Verdana"/>
          <w:b/>
          <w:bCs/>
          <w:color w:val="000000" w:themeColor="text1"/>
          <w:sz w:val="20"/>
          <w:szCs w:val="20"/>
        </w:rPr>
      </w:pPr>
    </w:p>
    <w:p w:rsidR="00264DCB" w:rsidRPr="00A45056" w:rsidRDefault="000E7F3D">
      <w:pPr>
        <w:shd w:val="clear" w:color="auto" w:fill="FEFFFF"/>
        <w:spacing w:line="360" w:lineRule="auto"/>
        <w:ind w:firstLine="354"/>
        <w:jc w:val="both"/>
        <w:rPr>
          <w:rFonts w:ascii="Verdana" w:eastAsia="Verdana" w:hAnsi="Verdana" w:cs="Verdana"/>
          <w:b/>
          <w:bCs/>
          <w:color w:val="000000" w:themeColor="text1"/>
          <w:sz w:val="20"/>
          <w:szCs w:val="20"/>
        </w:rPr>
      </w:pPr>
      <w:r w:rsidRPr="00A45056">
        <w:rPr>
          <w:rFonts w:ascii="Verdana" w:hAnsi="Verdana"/>
          <w:color w:val="000000" w:themeColor="text1"/>
          <w:sz w:val="20"/>
          <w:szCs w:val="20"/>
        </w:rPr>
        <w:t xml:space="preserve">Mentre il danno emergente veniva quantificato in relazione a costi di locazione, ristrutturazione, apertura di utenze in relazione all’originaria sede farmaceutica, </w:t>
      </w:r>
      <w:r w:rsidRPr="00A45056">
        <w:rPr>
          <w:rFonts w:ascii="Verdana" w:hAnsi="Verdana"/>
          <w:bCs/>
          <w:color w:val="000000" w:themeColor="text1"/>
          <w:sz w:val="20"/>
          <w:szCs w:val="20"/>
        </w:rPr>
        <w:t xml:space="preserve">il lucro cessante veniva quantificato dall’attore socio-privato in base </w:t>
      </w:r>
      <w:r w:rsidRPr="00A45056">
        <w:rPr>
          <w:rFonts w:ascii="Verdana" w:hAnsi="Verdana"/>
          <w:bCs/>
          <w:color w:val="000000" w:themeColor="text1"/>
          <w:sz w:val="20"/>
          <w:szCs w:val="20"/>
          <w:u w:val="single"/>
        </w:rPr>
        <w:t>agli utili netti mensili</w:t>
      </w:r>
      <w:r w:rsidRPr="00A45056">
        <w:rPr>
          <w:rFonts w:ascii="Verdana" w:hAnsi="Verdana"/>
          <w:bCs/>
          <w:color w:val="000000" w:themeColor="text1"/>
          <w:sz w:val="20"/>
          <w:szCs w:val="20"/>
        </w:rPr>
        <w:t xml:space="preserve"> relativi alle altre farmacie comunali operative nell'ambito dello stesso Contratto di servizio 30/11/2007, quantificati in “almeno € 5.000,00”. All’uopo </w:t>
      </w:r>
      <w:r w:rsidR="00C42591">
        <w:rPr>
          <w:rFonts w:ascii="Verdana" w:hAnsi="Verdana"/>
          <w:bCs/>
          <w:color w:val="000000" w:themeColor="text1"/>
          <w:sz w:val="20"/>
          <w:szCs w:val="20"/>
        </w:rPr>
        <w:t xml:space="preserve">si </w:t>
      </w:r>
      <w:r w:rsidRPr="00A45056">
        <w:rPr>
          <w:rFonts w:ascii="Verdana" w:hAnsi="Verdana"/>
          <w:bCs/>
          <w:color w:val="000000" w:themeColor="text1"/>
          <w:sz w:val="20"/>
          <w:szCs w:val="20"/>
        </w:rPr>
        <w:t>produceva</w:t>
      </w:r>
      <w:r w:rsidR="00C42591">
        <w:rPr>
          <w:rFonts w:ascii="Verdana" w:hAnsi="Verdana"/>
          <w:bCs/>
          <w:color w:val="000000" w:themeColor="text1"/>
          <w:sz w:val="20"/>
          <w:szCs w:val="20"/>
        </w:rPr>
        <w:t>no</w:t>
      </w:r>
      <w:r w:rsidRPr="00A45056">
        <w:rPr>
          <w:rFonts w:ascii="Verdana" w:hAnsi="Verdana"/>
          <w:bCs/>
          <w:color w:val="000000" w:themeColor="text1"/>
          <w:sz w:val="20"/>
          <w:szCs w:val="20"/>
        </w:rPr>
        <w:t xml:space="preserve"> in atti i “conti/prospetti situazione economica” di tali farmacie.</w:t>
      </w:r>
    </w:p>
    <w:p w:rsidR="00264DCB" w:rsidRPr="00A45056" w:rsidRDefault="000E7F3D">
      <w:pPr>
        <w:shd w:val="clear" w:color="auto" w:fill="FEFFFF"/>
        <w:spacing w:line="360" w:lineRule="auto"/>
        <w:ind w:firstLine="354"/>
        <w:jc w:val="both"/>
        <w:rPr>
          <w:rFonts w:ascii="Verdana" w:eastAsia="Verdana" w:hAnsi="Verdana" w:cs="Verdana"/>
          <w:i/>
          <w:iCs/>
          <w:color w:val="000000" w:themeColor="text1"/>
          <w:sz w:val="20"/>
          <w:szCs w:val="20"/>
        </w:rPr>
      </w:pPr>
      <w:r w:rsidRPr="00A45056">
        <w:rPr>
          <w:rFonts w:ascii="Verdana" w:hAnsi="Verdana"/>
          <w:color w:val="000000" w:themeColor="text1"/>
          <w:sz w:val="20"/>
          <w:szCs w:val="20"/>
        </w:rPr>
        <w:t>Il lodo arbitrale operava poi compensazione, «</w:t>
      </w:r>
      <w:r w:rsidRPr="00A45056">
        <w:rPr>
          <w:rFonts w:ascii="Verdana" w:hAnsi="Verdana"/>
          <w:i/>
          <w:iCs/>
          <w:color w:val="000000" w:themeColor="text1"/>
          <w:sz w:val="20"/>
          <w:szCs w:val="20"/>
        </w:rPr>
        <w:t xml:space="preserve">tra i 417.000,00 euro che </w:t>
      </w:r>
      <w:r w:rsidR="003B4079" w:rsidRPr="00A45056">
        <w:rPr>
          <w:rFonts w:ascii="Verdana" w:hAnsi="Verdana"/>
          <w:i/>
          <w:iCs/>
          <w:color w:val="000000" w:themeColor="text1"/>
          <w:sz w:val="20"/>
          <w:szCs w:val="20"/>
        </w:rPr>
        <w:t xml:space="preserve">SOCIGESS </w:t>
      </w:r>
      <w:proofErr w:type="spellStart"/>
      <w:r w:rsidR="009F623B" w:rsidRPr="00A45056">
        <w:rPr>
          <w:rFonts w:ascii="Verdana" w:hAnsi="Verdana"/>
          <w:i/>
          <w:iCs/>
          <w:color w:val="000000" w:themeColor="text1"/>
          <w:sz w:val="20"/>
          <w:szCs w:val="20"/>
        </w:rPr>
        <w:t>S.</w:t>
      </w:r>
      <w:r w:rsidRPr="00A45056">
        <w:rPr>
          <w:rFonts w:ascii="Verdana" w:hAnsi="Verdana"/>
          <w:i/>
          <w:iCs/>
          <w:color w:val="000000" w:themeColor="text1"/>
          <w:sz w:val="20"/>
          <w:szCs w:val="20"/>
        </w:rPr>
        <w:t>p</w:t>
      </w:r>
      <w:r w:rsidR="009F623B" w:rsidRPr="00A45056">
        <w:rPr>
          <w:rFonts w:ascii="Verdana" w:hAnsi="Verdana"/>
          <w:i/>
          <w:iCs/>
          <w:color w:val="000000" w:themeColor="text1"/>
          <w:sz w:val="20"/>
          <w:szCs w:val="20"/>
        </w:rPr>
        <w:t>.A</w:t>
      </w:r>
      <w:proofErr w:type="spellEnd"/>
      <w:r w:rsidR="009F623B" w:rsidRPr="00A45056">
        <w:rPr>
          <w:rFonts w:ascii="Verdana" w:hAnsi="Verdana"/>
          <w:i/>
          <w:iCs/>
          <w:color w:val="000000" w:themeColor="text1"/>
          <w:sz w:val="20"/>
          <w:szCs w:val="20"/>
        </w:rPr>
        <w:t>:</w:t>
      </w:r>
      <w:r w:rsidRPr="00A45056">
        <w:rPr>
          <w:rFonts w:ascii="Verdana" w:hAnsi="Verdana"/>
          <w:i/>
          <w:iCs/>
          <w:color w:val="000000" w:themeColor="text1"/>
          <w:sz w:val="20"/>
          <w:szCs w:val="20"/>
        </w:rPr>
        <w:t xml:space="preserve"> deve ancora dare a CISS e i 275.000,00 euro che </w:t>
      </w:r>
      <w:r w:rsidR="003B4079" w:rsidRPr="00A45056">
        <w:rPr>
          <w:rFonts w:ascii="Verdana" w:hAnsi="Verdana"/>
          <w:i/>
          <w:iCs/>
          <w:color w:val="000000" w:themeColor="text1"/>
          <w:sz w:val="20"/>
          <w:szCs w:val="20"/>
        </w:rPr>
        <w:t>CISS</w:t>
      </w:r>
      <w:r w:rsidRPr="00A45056">
        <w:rPr>
          <w:rFonts w:ascii="Verdana" w:hAnsi="Verdana"/>
          <w:i/>
          <w:iCs/>
          <w:color w:val="000000" w:themeColor="text1"/>
          <w:sz w:val="20"/>
          <w:szCs w:val="20"/>
        </w:rPr>
        <w:t xml:space="preserve"> deve dare a</w:t>
      </w:r>
      <w:r w:rsidR="003B4079" w:rsidRPr="00A45056">
        <w:rPr>
          <w:rFonts w:ascii="Verdana" w:hAnsi="Verdana"/>
          <w:i/>
          <w:iCs/>
          <w:color w:val="000000" w:themeColor="text1"/>
          <w:sz w:val="20"/>
          <w:szCs w:val="20"/>
        </w:rPr>
        <w:t xml:space="preserve"> SOCIGESS </w:t>
      </w:r>
      <w:r w:rsidR="009F623B" w:rsidRPr="00A45056">
        <w:rPr>
          <w:rFonts w:ascii="Verdana" w:hAnsi="Verdana"/>
          <w:i/>
          <w:iCs/>
          <w:color w:val="000000" w:themeColor="text1"/>
          <w:sz w:val="20"/>
          <w:szCs w:val="20"/>
        </w:rPr>
        <w:t>S.</w:t>
      </w:r>
      <w:r w:rsidRPr="00A45056">
        <w:rPr>
          <w:rFonts w:ascii="Verdana" w:hAnsi="Verdana"/>
          <w:i/>
          <w:iCs/>
          <w:color w:val="000000" w:themeColor="text1"/>
          <w:sz w:val="20"/>
          <w:szCs w:val="20"/>
        </w:rPr>
        <w:t>p</w:t>
      </w:r>
      <w:r w:rsidR="009F623B" w:rsidRPr="00A45056">
        <w:rPr>
          <w:rFonts w:ascii="Verdana" w:hAnsi="Verdana"/>
          <w:i/>
          <w:iCs/>
          <w:color w:val="000000" w:themeColor="text1"/>
          <w:sz w:val="20"/>
          <w:szCs w:val="20"/>
        </w:rPr>
        <w:t>.A.</w:t>
      </w:r>
      <w:r w:rsidRPr="00A45056">
        <w:rPr>
          <w:rFonts w:ascii="Verdana" w:hAnsi="Verdana"/>
          <w:i/>
          <w:iCs/>
          <w:color w:val="000000" w:themeColor="text1"/>
          <w:sz w:val="20"/>
          <w:szCs w:val="20"/>
        </w:rPr>
        <w:t xml:space="preserve">»; </w:t>
      </w:r>
      <w:r w:rsidR="008833F0" w:rsidRPr="00A45056">
        <w:rPr>
          <w:rFonts w:ascii="Verdana" w:hAnsi="Verdana"/>
          <w:color w:val="000000" w:themeColor="text1"/>
          <w:sz w:val="20"/>
          <w:szCs w:val="20"/>
        </w:rPr>
        <w:t xml:space="preserve">risultando </w:t>
      </w:r>
      <w:r w:rsidRPr="00A45056">
        <w:rPr>
          <w:rFonts w:ascii="Verdana" w:hAnsi="Verdana"/>
          <w:color w:val="000000" w:themeColor="text1"/>
          <w:sz w:val="20"/>
          <w:szCs w:val="20"/>
        </w:rPr>
        <w:t>così</w:t>
      </w:r>
      <w:r w:rsidRPr="00A45056">
        <w:rPr>
          <w:rFonts w:ascii="Verdana" w:hAnsi="Verdana"/>
          <w:i/>
          <w:iCs/>
          <w:color w:val="000000" w:themeColor="text1"/>
          <w:sz w:val="20"/>
          <w:szCs w:val="20"/>
        </w:rPr>
        <w:t xml:space="preserve"> «un credito a favore di </w:t>
      </w:r>
      <w:r w:rsidR="003B4079" w:rsidRPr="00A45056">
        <w:rPr>
          <w:rFonts w:ascii="Verdana" w:hAnsi="Verdana"/>
          <w:i/>
          <w:iCs/>
          <w:color w:val="000000" w:themeColor="text1"/>
          <w:sz w:val="20"/>
          <w:szCs w:val="20"/>
        </w:rPr>
        <w:t>CISS</w:t>
      </w:r>
      <w:r w:rsidRPr="00A45056">
        <w:rPr>
          <w:rFonts w:ascii="Verdana" w:hAnsi="Verdana"/>
          <w:i/>
          <w:iCs/>
          <w:color w:val="000000" w:themeColor="text1"/>
          <w:sz w:val="20"/>
          <w:szCs w:val="20"/>
        </w:rPr>
        <w:t xml:space="preserve"> e a carico di </w:t>
      </w:r>
      <w:r w:rsidR="003B4079" w:rsidRPr="00A45056">
        <w:rPr>
          <w:rFonts w:ascii="Verdana" w:hAnsi="Verdana"/>
          <w:i/>
          <w:iCs/>
          <w:color w:val="000000" w:themeColor="text1"/>
          <w:sz w:val="20"/>
          <w:szCs w:val="20"/>
        </w:rPr>
        <w:t>SOCIGESS</w:t>
      </w:r>
      <w:r w:rsidRPr="00A45056">
        <w:rPr>
          <w:rFonts w:ascii="Verdana" w:hAnsi="Verdana"/>
          <w:i/>
          <w:iCs/>
          <w:color w:val="000000" w:themeColor="text1"/>
          <w:sz w:val="20"/>
          <w:szCs w:val="20"/>
        </w:rPr>
        <w:t xml:space="preserve"> </w:t>
      </w:r>
      <w:proofErr w:type="spellStart"/>
      <w:r w:rsidR="003B4079" w:rsidRPr="00A45056">
        <w:rPr>
          <w:rFonts w:ascii="Verdana" w:hAnsi="Verdana"/>
          <w:i/>
          <w:iCs/>
          <w:color w:val="000000" w:themeColor="text1"/>
          <w:sz w:val="20"/>
          <w:szCs w:val="20"/>
        </w:rPr>
        <w:t>S.p.A</w:t>
      </w:r>
      <w:proofErr w:type="spellEnd"/>
      <w:r w:rsidRPr="00A45056">
        <w:rPr>
          <w:rFonts w:ascii="Verdana" w:hAnsi="Verdana"/>
          <w:i/>
          <w:iCs/>
          <w:color w:val="000000" w:themeColor="text1"/>
          <w:sz w:val="20"/>
          <w:szCs w:val="20"/>
        </w:rPr>
        <w:t xml:space="preserve"> di</w:t>
      </w:r>
      <w:r w:rsidR="008833F0" w:rsidRPr="00A45056">
        <w:rPr>
          <w:rFonts w:ascii="Verdana" w:hAnsi="Verdana"/>
          <w:i/>
          <w:iCs/>
          <w:color w:val="000000" w:themeColor="text1"/>
          <w:sz w:val="20"/>
          <w:szCs w:val="20"/>
        </w:rPr>
        <w:t xml:space="preserve"> </w:t>
      </w:r>
      <w:r w:rsidRPr="00A45056">
        <w:rPr>
          <w:rFonts w:ascii="Verdana" w:hAnsi="Verdana"/>
          <w:i/>
          <w:iCs/>
          <w:color w:val="000000" w:themeColor="text1"/>
          <w:sz w:val="20"/>
          <w:szCs w:val="20"/>
        </w:rPr>
        <w:t>€ 142.000,00».</w:t>
      </w:r>
    </w:p>
    <w:p w:rsidR="00264DCB" w:rsidRPr="00A45056"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lastRenderedPageBreak/>
        <w:t>Pertanto il Collegio arbitrale condannava «</w:t>
      </w:r>
      <w:r w:rsidR="003B4079" w:rsidRPr="00A45056">
        <w:rPr>
          <w:rFonts w:ascii="Verdana" w:hAnsi="Verdana"/>
          <w:i/>
          <w:iCs/>
          <w:color w:val="000000" w:themeColor="text1"/>
          <w:sz w:val="20"/>
          <w:szCs w:val="20"/>
        </w:rPr>
        <w:t xml:space="preserve">SOCIGESS </w:t>
      </w:r>
      <w:r w:rsidRPr="00A45056">
        <w:rPr>
          <w:rFonts w:ascii="Verdana" w:hAnsi="Verdana"/>
          <w:i/>
          <w:iCs/>
          <w:color w:val="000000" w:themeColor="text1"/>
          <w:sz w:val="20"/>
          <w:szCs w:val="20"/>
        </w:rPr>
        <w:t xml:space="preserve">spa a corrispondere a </w:t>
      </w:r>
      <w:r w:rsidR="00185C9C" w:rsidRPr="00A45056">
        <w:rPr>
          <w:rFonts w:ascii="Verdana" w:hAnsi="Verdana"/>
          <w:i/>
          <w:iCs/>
          <w:color w:val="000000" w:themeColor="text1"/>
          <w:sz w:val="20"/>
          <w:szCs w:val="20"/>
        </w:rPr>
        <w:t>CISS</w:t>
      </w:r>
      <w:r w:rsidRPr="00A45056">
        <w:rPr>
          <w:rFonts w:ascii="Verdana" w:hAnsi="Verdana"/>
          <w:i/>
          <w:iCs/>
          <w:color w:val="000000" w:themeColor="text1"/>
          <w:sz w:val="20"/>
          <w:szCs w:val="20"/>
        </w:rPr>
        <w:t xml:space="preserve"> la somma di € 142</w:t>
      </w:r>
      <w:r w:rsidR="002E78C4" w:rsidRPr="00A45056">
        <w:rPr>
          <w:rFonts w:ascii="Verdana" w:hAnsi="Verdana"/>
          <w:i/>
          <w:iCs/>
          <w:color w:val="000000" w:themeColor="text1"/>
          <w:sz w:val="20"/>
          <w:szCs w:val="20"/>
        </w:rPr>
        <w:t>.000,00 (euro centoquarantaduem</w:t>
      </w:r>
      <w:r w:rsidRPr="00A45056">
        <w:rPr>
          <w:rFonts w:ascii="Verdana" w:hAnsi="Verdana"/>
          <w:i/>
          <w:iCs/>
          <w:color w:val="000000" w:themeColor="text1"/>
          <w:sz w:val="20"/>
          <w:szCs w:val="20"/>
        </w:rPr>
        <w:t xml:space="preserve">ila/00). Su tale somma sono dovuti ex </w:t>
      </w:r>
      <w:proofErr w:type="spellStart"/>
      <w:r w:rsidRPr="00A45056">
        <w:rPr>
          <w:rFonts w:ascii="Verdana" w:hAnsi="Verdana"/>
          <w:i/>
          <w:iCs/>
          <w:color w:val="000000" w:themeColor="text1"/>
          <w:sz w:val="20"/>
          <w:szCs w:val="20"/>
        </w:rPr>
        <w:t>lege</w:t>
      </w:r>
      <w:proofErr w:type="spellEnd"/>
      <w:r w:rsidRPr="00A45056">
        <w:rPr>
          <w:rFonts w:ascii="Verdana" w:hAnsi="Verdana"/>
          <w:i/>
          <w:iCs/>
          <w:color w:val="000000" w:themeColor="text1"/>
          <w:sz w:val="20"/>
          <w:szCs w:val="20"/>
        </w:rPr>
        <w:t xml:space="preserve"> gli interessi nella misura legale, a decorrere dalla domanda di arbitrato notificata 28/9/2011</w:t>
      </w:r>
      <w:r w:rsidRPr="00A45056">
        <w:rPr>
          <w:rFonts w:ascii="Verdana" w:hAnsi="Verdana"/>
          <w:color w:val="000000" w:themeColor="text1"/>
          <w:sz w:val="20"/>
          <w:szCs w:val="20"/>
        </w:rPr>
        <w:t>».</w:t>
      </w:r>
    </w:p>
    <w:p w:rsidR="00264DCB" w:rsidRPr="00A45056" w:rsidRDefault="000E7F3D" w:rsidP="00E24949">
      <w:pPr>
        <w:shd w:val="clear" w:color="auto" w:fill="FEFFFF"/>
        <w:spacing w:line="360" w:lineRule="auto"/>
        <w:ind w:firstLine="354"/>
        <w:jc w:val="both"/>
        <w:rPr>
          <w:rFonts w:ascii="Verdana" w:hAnsi="Verdana"/>
          <w:bCs/>
          <w:color w:val="000000" w:themeColor="text1"/>
          <w:sz w:val="20"/>
          <w:szCs w:val="20"/>
        </w:rPr>
      </w:pPr>
      <w:r w:rsidRPr="00A45056">
        <w:rPr>
          <w:rFonts w:ascii="Verdana" w:hAnsi="Verdana"/>
          <w:color w:val="000000" w:themeColor="text1"/>
          <w:sz w:val="20"/>
          <w:szCs w:val="20"/>
        </w:rPr>
        <w:t xml:space="preserve">Eppure, secondo quanto risulta dalla </w:t>
      </w:r>
      <w:r w:rsidR="000E7E68" w:rsidRPr="00A45056">
        <w:rPr>
          <w:rFonts w:ascii="Verdana" w:hAnsi="Verdana"/>
          <w:bCs/>
          <w:color w:val="000000" w:themeColor="text1"/>
          <w:sz w:val="20"/>
          <w:szCs w:val="20"/>
        </w:rPr>
        <w:t>Tabella D</w:t>
      </w:r>
      <w:r w:rsidRPr="00A45056">
        <w:rPr>
          <w:rFonts w:ascii="Verdana" w:hAnsi="Verdana"/>
          <w:color w:val="000000" w:themeColor="text1"/>
          <w:sz w:val="20"/>
          <w:szCs w:val="20"/>
        </w:rPr>
        <w:t>, a seg</w:t>
      </w:r>
      <w:r w:rsidR="00185C9C" w:rsidRPr="00A45056">
        <w:rPr>
          <w:rFonts w:ascii="Verdana" w:hAnsi="Verdana"/>
          <w:color w:val="000000" w:themeColor="text1"/>
          <w:sz w:val="20"/>
          <w:szCs w:val="20"/>
        </w:rPr>
        <w:t>uito del lodo arbitrale</w:t>
      </w:r>
      <w:r w:rsidR="000E7E68" w:rsidRPr="00A45056">
        <w:rPr>
          <w:rFonts w:ascii="Verdana" w:hAnsi="Verdana"/>
          <w:color w:val="000000" w:themeColor="text1"/>
          <w:sz w:val="20"/>
          <w:szCs w:val="20"/>
        </w:rPr>
        <w:t>,</w:t>
      </w:r>
      <w:r w:rsidR="00185C9C" w:rsidRPr="00A45056">
        <w:rPr>
          <w:rFonts w:ascii="Verdana" w:hAnsi="Verdana"/>
          <w:color w:val="000000" w:themeColor="text1"/>
          <w:sz w:val="20"/>
          <w:szCs w:val="20"/>
        </w:rPr>
        <w:t xml:space="preserve"> </w:t>
      </w:r>
      <w:r w:rsidRPr="00A45056">
        <w:rPr>
          <w:rFonts w:ascii="Verdana" w:hAnsi="Verdana"/>
          <w:bCs/>
          <w:color w:val="000000" w:themeColor="text1"/>
          <w:sz w:val="20"/>
          <w:szCs w:val="20"/>
        </w:rPr>
        <w:t>il credito re</w:t>
      </w:r>
      <w:r w:rsidR="00185C9C" w:rsidRPr="00A45056">
        <w:rPr>
          <w:rFonts w:ascii="Verdana" w:hAnsi="Verdana"/>
          <w:bCs/>
          <w:color w:val="000000" w:themeColor="text1"/>
          <w:sz w:val="20"/>
          <w:szCs w:val="20"/>
        </w:rPr>
        <w:t>siduo complessivo vantato dal CISS</w:t>
      </w:r>
      <w:r w:rsidRPr="00A45056">
        <w:rPr>
          <w:rFonts w:ascii="Verdana" w:hAnsi="Verdana"/>
          <w:bCs/>
          <w:color w:val="000000" w:themeColor="text1"/>
          <w:sz w:val="20"/>
          <w:szCs w:val="20"/>
        </w:rPr>
        <w:t xml:space="preserve"> verso </w:t>
      </w:r>
      <w:r w:rsidR="000E7E68" w:rsidRPr="00A45056">
        <w:rPr>
          <w:rFonts w:ascii="Verdana" w:hAnsi="Verdana"/>
          <w:bCs/>
          <w:color w:val="000000" w:themeColor="text1"/>
          <w:sz w:val="20"/>
          <w:szCs w:val="20"/>
        </w:rPr>
        <w:t>SOCIGESS</w:t>
      </w:r>
      <w:r w:rsidR="009F623B" w:rsidRPr="00A45056">
        <w:rPr>
          <w:rFonts w:ascii="Verdana" w:hAnsi="Verdana"/>
          <w:bCs/>
          <w:color w:val="000000" w:themeColor="text1"/>
          <w:sz w:val="20"/>
          <w:szCs w:val="20"/>
        </w:rPr>
        <w:t xml:space="preserve"> </w:t>
      </w:r>
      <w:r w:rsidRPr="00A45056">
        <w:rPr>
          <w:rFonts w:ascii="Verdana" w:hAnsi="Verdana"/>
          <w:bCs/>
          <w:color w:val="000000" w:themeColor="text1"/>
          <w:sz w:val="20"/>
          <w:szCs w:val="20"/>
        </w:rPr>
        <w:t>S.p.A. per gli anni di competenza canoni dal 2007 al 2011 è diminuito da €</w:t>
      </w:r>
      <w:r w:rsidR="000C6B0D" w:rsidRPr="00A45056">
        <w:rPr>
          <w:rFonts w:ascii="Verdana" w:hAnsi="Verdana"/>
          <w:bCs/>
          <w:color w:val="000000" w:themeColor="text1"/>
          <w:sz w:val="20"/>
          <w:szCs w:val="20"/>
        </w:rPr>
        <w:t xml:space="preserve"> </w:t>
      </w:r>
      <w:r w:rsidRPr="00A45056">
        <w:rPr>
          <w:rFonts w:ascii="Verdana" w:hAnsi="Verdana"/>
          <w:bCs/>
          <w:color w:val="000000" w:themeColor="text1"/>
          <w:sz w:val="20"/>
          <w:szCs w:val="20"/>
        </w:rPr>
        <w:t xml:space="preserve">304.999,21 ad € 29.999,21, </w:t>
      </w:r>
      <w:r w:rsidR="006E17EB" w:rsidRPr="00A45056">
        <w:rPr>
          <w:rFonts w:ascii="Verdana" w:hAnsi="Verdana"/>
          <w:bCs/>
          <w:color w:val="000000" w:themeColor="text1"/>
          <w:sz w:val="20"/>
          <w:szCs w:val="20"/>
        </w:rPr>
        <w:t xml:space="preserve">piuttosto che ammontare </w:t>
      </w:r>
      <w:proofErr w:type="gramStart"/>
      <w:r w:rsidR="006E17EB" w:rsidRPr="00A45056">
        <w:rPr>
          <w:rFonts w:ascii="Verdana" w:hAnsi="Verdana"/>
          <w:bCs/>
          <w:color w:val="000000" w:themeColor="text1"/>
          <w:sz w:val="20"/>
          <w:szCs w:val="20"/>
        </w:rPr>
        <w:t xml:space="preserve">ad </w:t>
      </w:r>
      <w:r w:rsidRPr="00A45056">
        <w:rPr>
          <w:rFonts w:ascii="Verdana" w:hAnsi="Verdana"/>
          <w:bCs/>
          <w:color w:val="000000" w:themeColor="text1"/>
          <w:sz w:val="20"/>
          <w:szCs w:val="20"/>
        </w:rPr>
        <w:t xml:space="preserve"> €</w:t>
      </w:r>
      <w:proofErr w:type="gramEnd"/>
      <w:r w:rsidRPr="00A45056">
        <w:rPr>
          <w:rFonts w:ascii="Verdana" w:hAnsi="Verdana"/>
          <w:bCs/>
          <w:color w:val="000000" w:themeColor="text1"/>
          <w:sz w:val="20"/>
          <w:szCs w:val="20"/>
        </w:rPr>
        <w:t xml:space="preserve"> 142.000</w:t>
      </w:r>
      <w:r w:rsidR="000C6B0D" w:rsidRPr="00A45056">
        <w:rPr>
          <w:rFonts w:ascii="Verdana" w:hAnsi="Verdana"/>
          <w:bCs/>
          <w:color w:val="000000" w:themeColor="text1"/>
          <w:sz w:val="20"/>
          <w:szCs w:val="20"/>
        </w:rPr>
        <w:t>,00</w:t>
      </w:r>
      <w:r w:rsidR="006E17EB" w:rsidRPr="00A45056">
        <w:rPr>
          <w:rFonts w:ascii="Verdana" w:hAnsi="Verdana"/>
          <w:bCs/>
          <w:color w:val="000000" w:themeColor="text1"/>
          <w:sz w:val="20"/>
          <w:szCs w:val="20"/>
        </w:rPr>
        <w:t xml:space="preserve"> come previsto dal lodo medesimo</w:t>
      </w:r>
      <w:r w:rsidRPr="00A45056">
        <w:rPr>
          <w:rFonts w:ascii="Verdana" w:hAnsi="Verdana"/>
          <w:bCs/>
          <w:color w:val="000000" w:themeColor="text1"/>
          <w:sz w:val="20"/>
          <w:szCs w:val="20"/>
        </w:rPr>
        <w:t>.</w:t>
      </w:r>
      <w:r w:rsidR="006E17EB" w:rsidRPr="00A45056">
        <w:rPr>
          <w:rFonts w:ascii="Verdana" w:hAnsi="Verdana"/>
          <w:bCs/>
          <w:color w:val="000000" w:themeColor="text1"/>
          <w:sz w:val="20"/>
          <w:szCs w:val="20"/>
        </w:rPr>
        <w:t xml:space="preserve"> </w:t>
      </w:r>
    </w:p>
    <w:p w:rsidR="00E24949" w:rsidRPr="00A45056" w:rsidRDefault="00D3537D" w:rsidP="00E24949">
      <w:pPr>
        <w:shd w:val="clear" w:color="auto" w:fill="FEFFFF"/>
        <w:spacing w:line="360" w:lineRule="auto"/>
        <w:ind w:firstLine="354"/>
        <w:jc w:val="both"/>
        <w:rPr>
          <w:rFonts w:ascii="Verdana" w:hAnsi="Verdana"/>
          <w:bCs/>
          <w:color w:val="000000" w:themeColor="text1"/>
          <w:sz w:val="20"/>
          <w:szCs w:val="20"/>
        </w:rPr>
      </w:pPr>
      <w:r w:rsidRPr="00A45056">
        <w:rPr>
          <w:rFonts w:ascii="Verdana" w:hAnsi="Verdana"/>
          <w:bCs/>
          <w:color w:val="000000" w:themeColor="text1"/>
          <w:sz w:val="20"/>
          <w:szCs w:val="20"/>
        </w:rPr>
        <w:t>Sul punto, a valle dell’ordinanza di questa Sezione</w:t>
      </w:r>
      <w:r w:rsidR="00F94E73" w:rsidRPr="00A45056">
        <w:rPr>
          <w:rFonts w:ascii="Verdana" w:hAnsi="Verdana"/>
          <w:bCs/>
          <w:color w:val="000000" w:themeColor="text1"/>
          <w:sz w:val="20"/>
          <w:szCs w:val="20"/>
        </w:rPr>
        <w:t xml:space="preserve"> n. 218/2015</w:t>
      </w:r>
      <w:r w:rsidRPr="00A45056">
        <w:rPr>
          <w:rFonts w:ascii="Verdana" w:hAnsi="Verdana"/>
          <w:bCs/>
          <w:color w:val="000000" w:themeColor="text1"/>
          <w:sz w:val="20"/>
          <w:szCs w:val="20"/>
        </w:rPr>
        <w:t>,</w:t>
      </w:r>
      <w:r w:rsidR="009F12CC" w:rsidRPr="00A45056">
        <w:rPr>
          <w:rFonts w:ascii="Verdana" w:hAnsi="Verdana"/>
          <w:bCs/>
          <w:color w:val="000000" w:themeColor="text1"/>
          <w:sz w:val="20"/>
          <w:szCs w:val="20"/>
        </w:rPr>
        <w:t xml:space="preserve"> il CISS, con </w:t>
      </w:r>
      <w:proofErr w:type="spellStart"/>
      <w:r w:rsidR="009F12CC" w:rsidRPr="00A45056">
        <w:rPr>
          <w:rFonts w:ascii="Verdana" w:hAnsi="Verdana"/>
          <w:bCs/>
          <w:color w:val="000000" w:themeColor="text1"/>
          <w:sz w:val="20"/>
          <w:szCs w:val="20"/>
        </w:rPr>
        <w:t>prot</w:t>
      </w:r>
      <w:proofErr w:type="spellEnd"/>
      <w:r w:rsidR="009F12CC" w:rsidRPr="00A45056">
        <w:rPr>
          <w:rFonts w:ascii="Verdana" w:hAnsi="Verdana"/>
          <w:bCs/>
          <w:color w:val="000000" w:themeColor="text1"/>
          <w:sz w:val="20"/>
          <w:szCs w:val="20"/>
        </w:rPr>
        <w:t xml:space="preserve">. 2329 del 12/11/2015, ha riferito quanto segue: </w:t>
      </w:r>
      <w:r w:rsidR="00A919BD" w:rsidRPr="00A45056">
        <w:rPr>
          <w:rFonts w:ascii="Verdana" w:hAnsi="Verdana"/>
          <w:bCs/>
          <w:color w:val="000000" w:themeColor="text1"/>
          <w:sz w:val="20"/>
          <w:szCs w:val="20"/>
        </w:rPr>
        <w:t>«</w:t>
      </w:r>
      <w:r w:rsidRPr="00A45056">
        <w:rPr>
          <w:rFonts w:ascii="Verdana" w:hAnsi="Verdana"/>
          <w:bCs/>
          <w:i/>
          <w:color w:val="000000" w:themeColor="text1"/>
          <w:sz w:val="20"/>
          <w:szCs w:val="20"/>
        </w:rPr>
        <w:t xml:space="preserve">mentre il lodo illustrava i crediti vantati dal CISS nei confronti di SOCIGESS per il saldo canoni di competenza fino al 31/12/2010 di € 417.000,00 e non al 31/12/2011 come illustrato nella suddetta "tabella c". Infatti, la "tabella C" (cfr. </w:t>
      </w:r>
      <w:proofErr w:type="spellStart"/>
      <w:r w:rsidRPr="00A45056">
        <w:rPr>
          <w:rFonts w:ascii="Verdana" w:hAnsi="Verdana"/>
          <w:bCs/>
          <w:i/>
          <w:color w:val="000000" w:themeColor="text1"/>
          <w:sz w:val="20"/>
          <w:szCs w:val="20"/>
        </w:rPr>
        <w:t>pag</w:t>
      </w:r>
      <w:proofErr w:type="spellEnd"/>
      <w:r w:rsidRPr="00A45056">
        <w:rPr>
          <w:rFonts w:ascii="Verdana" w:hAnsi="Verdana"/>
          <w:bCs/>
          <w:i/>
          <w:color w:val="000000" w:themeColor="text1"/>
          <w:sz w:val="20"/>
          <w:szCs w:val="20"/>
        </w:rPr>
        <w:t xml:space="preserve"> 9 delibera n° 218/2015 Corte dei Conti) dalla quale emerge il credito di 29.999,21 piuttosto che € 142.000,00 è dovuto al fatto che la suddetta tabella riporta il totale fatturato e incassato dal CISS in relazione agli anni di competenza 2007 — 2011, pertanto come rappresentato nelle tabelle successive parte degli incassi e quindi minor credito vantato dal CISS nei confronti di </w:t>
      </w:r>
      <w:r w:rsidR="003B4079" w:rsidRPr="00A45056">
        <w:rPr>
          <w:rFonts w:ascii="Verdana" w:hAnsi="Verdana"/>
          <w:bCs/>
          <w:i/>
          <w:color w:val="000000" w:themeColor="text1"/>
          <w:sz w:val="20"/>
          <w:szCs w:val="20"/>
        </w:rPr>
        <w:t>SOCIGESS</w:t>
      </w:r>
      <w:r w:rsidRPr="00A45056">
        <w:rPr>
          <w:rFonts w:ascii="Verdana" w:hAnsi="Verdana"/>
          <w:bCs/>
          <w:i/>
          <w:color w:val="000000" w:themeColor="text1"/>
          <w:sz w:val="20"/>
          <w:szCs w:val="20"/>
        </w:rPr>
        <w:t xml:space="preserve"> S.p.A. è avvenuto negli anni 2011 e 2012 mentre il lodo fotografa l'ammontare crediti vantati alla data di competenza del 31/12/2010</w:t>
      </w:r>
      <w:r w:rsidR="00A919BD" w:rsidRPr="00A45056">
        <w:rPr>
          <w:rFonts w:ascii="Verdana" w:hAnsi="Verdana"/>
          <w:bCs/>
          <w:color w:val="000000" w:themeColor="text1"/>
          <w:sz w:val="20"/>
          <w:szCs w:val="20"/>
        </w:rPr>
        <w:t>».</w:t>
      </w:r>
    </w:p>
    <w:p w:rsidR="003A1D56" w:rsidRPr="00A45056" w:rsidRDefault="003A1D56" w:rsidP="00E24949">
      <w:pPr>
        <w:shd w:val="clear" w:color="auto" w:fill="FEFFFF"/>
        <w:spacing w:line="360" w:lineRule="auto"/>
        <w:ind w:firstLine="354"/>
        <w:jc w:val="both"/>
        <w:rPr>
          <w:rFonts w:ascii="Verdana" w:eastAsia="Verdana" w:hAnsi="Verdana" w:cs="Verdana"/>
          <w:bCs/>
          <w:color w:val="000000" w:themeColor="text1"/>
          <w:sz w:val="20"/>
          <w:szCs w:val="20"/>
        </w:rPr>
      </w:pPr>
      <w:r w:rsidRPr="00A45056">
        <w:rPr>
          <w:rFonts w:ascii="Verdana" w:hAnsi="Verdana"/>
          <w:color w:val="000000" w:themeColor="text1"/>
          <w:sz w:val="20"/>
          <w:szCs w:val="20"/>
          <w:u w:val="single"/>
        </w:rPr>
        <w:t xml:space="preserve">Peraltro, con riguardo ai </w:t>
      </w:r>
      <w:r w:rsidRPr="00A45056">
        <w:rPr>
          <w:rFonts w:ascii="Verdana" w:hAnsi="Verdana"/>
          <w:b/>
          <w:color w:val="000000" w:themeColor="text1"/>
          <w:sz w:val="20"/>
          <w:szCs w:val="20"/>
          <w:u w:val="single"/>
        </w:rPr>
        <w:t>flussi 2012</w:t>
      </w:r>
      <w:r w:rsidRPr="00A45056">
        <w:rPr>
          <w:rFonts w:ascii="Verdana" w:hAnsi="Verdana"/>
          <w:color w:val="000000" w:themeColor="text1"/>
          <w:sz w:val="20"/>
          <w:szCs w:val="20"/>
          <w:u w:val="single"/>
        </w:rPr>
        <w:t>, Tabella F, nulla emerge a proposito del saldo della differenza ancora dovuta.</w:t>
      </w:r>
    </w:p>
    <w:p w:rsidR="00264DCB" w:rsidRPr="00A45056" w:rsidRDefault="00C30BE0" w:rsidP="003A1D56">
      <w:pPr>
        <w:shd w:val="clear" w:color="auto" w:fill="FEFFFF"/>
        <w:spacing w:line="360" w:lineRule="auto"/>
        <w:ind w:firstLine="354"/>
        <w:jc w:val="both"/>
        <w:rPr>
          <w:rFonts w:ascii="Verdana" w:hAnsi="Verdana"/>
          <w:color w:val="000000" w:themeColor="text1"/>
          <w:sz w:val="20"/>
          <w:szCs w:val="20"/>
          <w:u w:val="single"/>
        </w:rPr>
      </w:pPr>
      <w:r w:rsidRPr="00A45056">
        <w:rPr>
          <w:rFonts w:ascii="Verdana" w:hAnsi="Verdana"/>
          <w:b/>
          <w:bCs/>
          <w:color w:val="000000" w:themeColor="text1"/>
          <w:sz w:val="20"/>
          <w:szCs w:val="20"/>
        </w:rPr>
        <w:t>7</w:t>
      </w:r>
      <w:r w:rsidR="000E7F3D" w:rsidRPr="00A45056">
        <w:rPr>
          <w:rFonts w:ascii="Verdana" w:hAnsi="Verdana"/>
          <w:b/>
          <w:bCs/>
          <w:color w:val="000000" w:themeColor="text1"/>
          <w:sz w:val="20"/>
          <w:szCs w:val="20"/>
        </w:rPr>
        <w:t>.1.2.</w:t>
      </w:r>
      <w:r w:rsidR="00C32304" w:rsidRPr="00A45056">
        <w:rPr>
          <w:rFonts w:ascii="Verdana" w:hAnsi="Verdana"/>
          <w:b/>
          <w:bCs/>
          <w:color w:val="000000" w:themeColor="text1"/>
          <w:sz w:val="20"/>
          <w:szCs w:val="20"/>
        </w:rPr>
        <w:t xml:space="preserve"> </w:t>
      </w:r>
      <w:r w:rsidR="000E7F3D" w:rsidRPr="00A45056">
        <w:rPr>
          <w:rFonts w:ascii="Verdana" w:hAnsi="Verdana"/>
          <w:b/>
          <w:color w:val="000000" w:themeColor="text1"/>
          <w:sz w:val="20"/>
          <w:szCs w:val="20"/>
        </w:rPr>
        <w:t>Biennio 2012-2013</w:t>
      </w:r>
      <w:r w:rsidR="000E7F3D" w:rsidRPr="00A45056">
        <w:rPr>
          <w:rFonts w:ascii="Verdana" w:hAnsi="Verdana"/>
          <w:color w:val="000000" w:themeColor="text1"/>
          <w:sz w:val="20"/>
          <w:szCs w:val="20"/>
        </w:rPr>
        <w:t xml:space="preserve">. </w:t>
      </w:r>
      <w:r w:rsidR="003A1D56" w:rsidRPr="00A45056">
        <w:rPr>
          <w:rFonts w:ascii="Verdana" w:hAnsi="Verdana"/>
          <w:color w:val="000000" w:themeColor="text1"/>
          <w:sz w:val="20"/>
          <w:szCs w:val="20"/>
        </w:rPr>
        <w:t>A</w:t>
      </w:r>
      <w:r w:rsidR="0082683F" w:rsidRPr="00A45056">
        <w:rPr>
          <w:rFonts w:ascii="Verdana" w:hAnsi="Verdana"/>
          <w:color w:val="000000" w:themeColor="text1"/>
          <w:sz w:val="20"/>
          <w:szCs w:val="20"/>
        </w:rPr>
        <w:t xml:space="preserve"> </w:t>
      </w:r>
      <w:r w:rsidR="000E7F3D" w:rsidRPr="00A45056">
        <w:rPr>
          <w:rFonts w:ascii="Verdana" w:hAnsi="Verdana"/>
          <w:color w:val="000000" w:themeColor="text1"/>
          <w:sz w:val="20"/>
          <w:szCs w:val="20"/>
        </w:rPr>
        <w:t>partire dal 2012</w:t>
      </w:r>
      <w:r w:rsidR="006E17EB" w:rsidRPr="00A45056">
        <w:rPr>
          <w:rFonts w:ascii="Verdana" w:hAnsi="Verdana"/>
          <w:color w:val="000000" w:themeColor="text1"/>
          <w:sz w:val="20"/>
          <w:szCs w:val="20"/>
        </w:rPr>
        <w:t>,</w:t>
      </w:r>
      <w:r w:rsidR="000E7F3D" w:rsidRPr="00A45056">
        <w:rPr>
          <w:rFonts w:ascii="Verdana" w:hAnsi="Verdana"/>
          <w:color w:val="000000" w:themeColor="text1"/>
          <w:sz w:val="20"/>
          <w:szCs w:val="20"/>
        </w:rPr>
        <w:t xml:space="preserve"> si verificano una serie di interpretazioni, comportamenti contrattuali concludenti e modifiche che comprimono i flussi finanziari dovuti </w:t>
      </w:r>
      <w:r w:rsidR="00BC7015" w:rsidRPr="00A45056">
        <w:rPr>
          <w:rFonts w:ascii="Verdana" w:hAnsi="Verdana"/>
          <w:color w:val="000000" w:themeColor="text1"/>
          <w:sz w:val="20"/>
          <w:szCs w:val="20"/>
        </w:rPr>
        <w:t xml:space="preserve">da </w:t>
      </w:r>
      <w:r w:rsidR="003B4079">
        <w:rPr>
          <w:rFonts w:ascii="Verdana" w:hAnsi="Verdana"/>
          <w:color w:val="000000" w:themeColor="text1"/>
          <w:sz w:val="20"/>
          <w:szCs w:val="20"/>
        </w:rPr>
        <w:t>SOCIGESS</w:t>
      </w:r>
      <w:r w:rsidR="00BC7015" w:rsidRPr="00A45056">
        <w:rPr>
          <w:rFonts w:ascii="Verdana" w:hAnsi="Verdana"/>
          <w:color w:val="000000" w:themeColor="text1"/>
          <w:sz w:val="20"/>
          <w:szCs w:val="20"/>
        </w:rPr>
        <w:t xml:space="preserve"> </w:t>
      </w:r>
      <w:r w:rsidR="000E7F3D" w:rsidRPr="00A45056">
        <w:rPr>
          <w:rFonts w:ascii="Verdana" w:hAnsi="Verdana"/>
          <w:color w:val="000000" w:themeColor="text1"/>
          <w:sz w:val="20"/>
          <w:szCs w:val="20"/>
        </w:rPr>
        <w:t xml:space="preserve">in ragione delle farmacie aperte in base alle convenzioni vigenti; </w:t>
      </w:r>
      <w:r w:rsidR="000E7F3D" w:rsidRPr="00A45056">
        <w:rPr>
          <w:rFonts w:ascii="Verdana" w:hAnsi="Verdana"/>
          <w:color w:val="000000" w:themeColor="text1"/>
          <w:sz w:val="20"/>
          <w:szCs w:val="20"/>
          <w:u w:val="single"/>
        </w:rPr>
        <w:t xml:space="preserve">il CISS sistematicamente acconsente alle modifiche del contratto di servizio </w:t>
      </w:r>
      <w:r w:rsidR="006E17EB" w:rsidRPr="00A45056">
        <w:rPr>
          <w:rFonts w:ascii="Verdana" w:hAnsi="Verdana"/>
          <w:color w:val="000000" w:themeColor="text1"/>
          <w:sz w:val="20"/>
          <w:szCs w:val="20"/>
          <w:u w:val="single"/>
        </w:rPr>
        <w:t xml:space="preserve">nel </w:t>
      </w:r>
      <w:r w:rsidR="000E7F3D" w:rsidRPr="00A45056">
        <w:rPr>
          <w:rFonts w:ascii="Verdana" w:hAnsi="Verdana"/>
          <w:color w:val="000000" w:themeColor="text1"/>
          <w:sz w:val="20"/>
          <w:szCs w:val="20"/>
          <w:u w:val="single"/>
        </w:rPr>
        <w:t xml:space="preserve">senso </w:t>
      </w:r>
      <w:r w:rsidR="006E17EB" w:rsidRPr="00A45056">
        <w:rPr>
          <w:rFonts w:ascii="Verdana" w:hAnsi="Verdana"/>
          <w:color w:val="000000" w:themeColor="text1"/>
          <w:sz w:val="20"/>
          <w:szCs w:val="20"/>
          <w:u w:val="single"/>
        </w:rPr>
        <w:t xml:space="preserve">richiesto dal </w:t>
      </w:r>
      <w:r w:rsidR="000E7F3D" w:rsidRPr="00A45056">
        <w:rPr>
          <w:rFonts w:ascii="Verdana" w:hAnsi="Verdana"/>
          <w:color w:val="000000" w:themeColor="text1"/>
          <w:sz w:val="20"/>
          <w:szCs w:val="20"/>
          <w:u w:val="single"/>
        </w:rPr>
        <w:t>socio privato, senza motivare in ordine alla convenienza economica di tali scelte</w:t>
      </w:r>
      <w:r w:rsidR="000E7E68" w:rsidRPr="00A45056">
        <w:rPr>
          <w:rFonts w:ascii="Verdana" w:hAnsi="Verdana"/>
          <w:color w:val="000000" w:themeColor="text1"/>
          <w:sz w:val="20"/>
          <w:szCs w:val="20"/>
        </w:rPr>
        <w:t xml:space="preserve">, </w:t>
      </w:r>
      <w:r w:rsidR="000E7E68" w:rsidRPr="00A45056">
        <w:rPr>
          <w:rFonts w:ascii="Verdana" w:hAnsi="Verdana"/>
          <w:color w:val="000000" w:themeColor="text1"/>
          <w:sz w:val="20"/>
          <w:szCs w:val="20"/>
          <w:u w:val="single"/>
        </w:rPr>
        <w:t>non</w:t>
      </w:r>
      <w:r w:rsidR="0053453B" w:rsidRPr="00A45056">
        <w:rPr>
          <w:rFonts w:ascii="Verdana" w:hAnsi="Verdana"/>
          <w:color w:val="000000" w:themeColor="text1"/>
          <w:sz w:val="20"/>
          <w:szCs w:val="20"/>
          <w:u w:val="single"/>
        </w:rPr>
        <w:t>o</w:t>
      </w:r>
      <w:r w:rsidR="000E7E68" w:rsidRPr="00A45056">
        <w:rPr>
          <w:rFonts w:ascii="Verdana" w:hAnsi="Verdana"/>
          <w:color w:val="000000" w:themeColor="text1"/>
          <w:sz w:val="20"/>
          <w:szCs w:val="20"/>
          <w:u w:val="single"/>
        </w:rPr>
        <w:t xml:space="preserve">stante le convenzioni </w:t>
      </w:r>
      <w:r w:rsidR="0053453B" w:rsidRPr="00A45056">
        <w:rPr>
          <w:rFonts w:ascii="Verdana" w:hAnsi="Verdana"/>
          <w:color w:val="000000" w:themeColor="text1"/>
          <w:sz w:val="20"/>
          <w:szCs w:val="20"/>
          <w:u w:val="single"/>
        </w:rPr>
        <w:t>stipulate</w:t>
      </w:r>
      <w:r w:rsidR="000E7E68" w:rsidRPr="00A45056">
        <w:rPr>
          <w:rFonts w:ascii="Verdana" w:hAnsi="Verdana"/>
          <w:color w:val="000000" w:themeColor="text1"/>
          <w:sz w:val="20"/>
          <w:szCs w:val="20"/>
          <w:u w:val="single"/>
        </w:rPr>
        <w:t xml:space="preserve"> avessero una durata più lunga e consentissero una maggiore remunerazione, </w:t>
      </w:r>
      <w:r w:rsidR="0053453B" w:rsidRPr="00A45056">
        <w:rPr>
          <w:rFonts w:ascii="Verdana" w:hAnsi="Verdana"/>
          <w:color w:val="000000" w:themeColor="text1"/>
          <w:sz w:val="20"/>
          <w:szCs w:val="20"/>
          <w:u w:val="single"/>
        </w:rPr>
        <w:t>facendosi parte del rischio che SOCIGESS aveva acconsentito ad accollarsi per i vari periodi considerati</w:t>
      </w:r>
      <w:r w:rsidR="000E7F3D" w:rsidRPr="00A45056">
        <w:rPr>
          <w:rFonts w:ascii="Verdana" w:hAnsi="Verdana"/>
          <w:color w:val="000000" w:themeColor="text1"/>
          <w:sz w:val="20"/>
          <w:szCs w:val="20"/>
          <w:u w:val="single"/>
        </w:rPr>
        <w:t>.</w:t>
      </w:r>
    </w:p>
    <w:p w:rsidR="00264DCB" w:rsidRPr="00A45056"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 xml:space="preserve">In primo luogo, nel 2012 vi è stato il raggiungimento della soglia di 13 farmacie, in ragione della quale il contributo minimo </w:t>
      </w:r>
      <w:r w:rsidR="00BC7015" w:rsidRPr="00A45056">
        <w:rPr>
          <w:rFonts w:ascii="Verdana" w:hAnsi="Verdana"/>
          <w:color w:val="000000" w:themeColor="text1"/>
          <w:sz w:val="20"/>
          <w:szCs w:val="20"/>
        </w:rPr>
        <w:t xml:space="preserve">sarebbe </w:t>
      </w:r>
      <w:proofErr w:type="gramStart"/>
      <w:r w:rsidR="00BC7015" w:rsidRPr="00A45056">
        <w:rPr>
          <w:rFonts w:ascii="Verdana" w:hAnsi="Verdana"/>
          <w:color w:val="000000" w:themeColor="text1"/>
          <w:sz w:val="20"/>
          <w:szCs w:val="20"/>
        </w:rPr>
        <w:t xml:space="preserve">dovuto </w:t>
      </w:r>
      <w:r w:rsidRPr="00A45056">
        <w:rPr>
          <w:rFonts w:ascii="Verdana" w:hAnsi="Verdana"/>
          <w:color w:val="000000" w:themeColor="text1"/>
          <w:sz w:val="20"/>
          <w:szCs w:val="20"/>
        </w:rPr>
        <w:t xml:space="preserve"> passa</w:t>
      </w:r>
      <w:r w:rsidR="00BC7015" w:rsidRPr="00A45056">
        <w:rPr>
          <w:rFonts w:ascii="Verdana" w:hAnsi="Verdana"/>
          <w:color w:val="000000" w:themeColor="text1"/>
          <w:sz w:val="20"/>
          <w:szCs w:val="20"/>
        </w:rPr>
        <w:t>re</w:t>
      </w:r>
      <w:proofErr w:type="gramEnd"/>
      <w:r w:rsidRPr="00A45056">
        <w:rPr>
          <w:rFonts w:ascii="Verdana" w:hAnsi="Verdana"/>
          <w:color w:val="000000" w:themeColor="text1"/>
          <w:sz w:val="20"/>
          <w:szCs w:val="20"/>
        </w:rPr>
        <w:t xml:space="preserve"> </w:t>
      </w:r>
      <w:r w:rsidR="0053025C" w:rsidRPr="00A45056">
        <w:rPr>
          <w:rFonts w:ascii="Verdana" w:hAnsi="Verdana"/>
          <w:color w:val="000000" w:themeColor="text1"/>
          <w:sz w:val="20"/>
          <w:szCs w:val="20"/>
        </w:rPr>
        <w:t>da</w:t>
      </w:r>
      <w:r w:rsidR="00BC7015" w:rsidRPr="00A45056">
        <w:rPr>
          <w:rFonts w:ascii="Verdana" w:hAnsi="Verdana"/>
          <w:color w:val="000000" w:themeColor="text1"/>
          <w:sz w:val="20"/>
          <w:szCs w:val="20"/>
        </w:rPr>
        <w:t xml:space="preserve"> €</w:t>
      </w:r>
      <w:r w:rsidR="0053025C"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280 mila a </w:t>
      </w:r>
      <w:r w:rsidR="00BC7015" w:rsidRPr="00A45056">
        <w:rPr>
          <w:rFonts w:ascii="Verdana" w:hAnsi="Verdana"/>
          <w:color w:val="000000" w:themeColor="text1"/>
          <w:sz w:val="20"/>
          <w:szCs w:val="20"/>
        </w:rPr>
        <w:t xml:space="preserve">€ </w:t>
      </w:r>
      <w:r w:rsidRPr="00A45056">
        <w:rPr>
          <w:rFonts w:ascii="Verdana" w:hAnsi="Verdana"/>
          <w:color w:val="000000" w:themeColor="text1"/>
          <w:sz w:val="20"/>
          <w:szCs w:val="20"/>
        </w:rPr>
        <w:t>400 mila.</w:t>
      </w:r>
    </w:p>
    <w:p w:rsidR="00264DCB" w:rsidRPr="00A45056" w:rsidRDefault="008836AE">
      <w:pPr>
        <w:shd w:val="clear" w:color="auto" w:fill="FEFFFF"/>
        <w:spacing w:line="360" w:lineRule="auto"/>
        <w:ind w:firstLine="354"/>
        <w:jc w:val="both"/>
        <w:rPr>
          <w:rFonts w:ascii="Verdana" w:eastAsia="Verdana" w:hAnsi="Verdana" w:cs="Verdana"/>
          <w:bCs/>
          <w:color w:val="000000" w:themeColor="text1"/>
          <w:sz w:val="20"/>
          <w:szCs w:val="20"/>
        </w:rPr>
      </w:pPr>
      <w:r w:rsidRPr="00A45056">
        <w:rPr>
          <w:rFonts w:ascii="Verdana" w:hAnsi="Verdana"/>
          <w:color w:val="000000" w:themeColor="text1"/>
          <w:sz w:val="20"/>
          <w:szCs w:val="20"/>
        </w:rPr>
        <w:t>Nondimeno</w:t>
      </w:r>
      <w:r w:rsidR="000E7F3D" w:rsidRPr="00A45056">
        <w:rPr>
          <w:rFonts w:ascii="Verdana" w:hAnsi="Verdana"/>
          <w:color w:val="000000" w:themeColor="text1"/>
          <w:sz w:val="20"/>
          <w:szCs w:val="20"/>
        </w:rPr>
        <w:t xml:space="preserve">, argomentando sulla base del fatto che la tredicesima farmacia </w:t>
      </w:r>
      <w:r w:rsidR="00BC7015" w:rsidRPr="00A45056">
        <w:rPr>
          <w:rFonts w:ascii="Verdana" w:hAnsi="Verdana"/>
          <w:color w:val="000000" w:themeColor="text1"/>
          <w:sz w:val="20"/>
          <w:szCs w:val="20"/>
        </w:rPr>
        <w:t xml:space="preserve">è stata aperta </w:t>
      </w:r>
      <w:r w:rsidR="000E7F3D" w:rsidRPr="00A45056">
        <w:rPr>
          <w:rFonts w:ascii="Verdana" w:hAnsi="Verdana"/>
          <w:color w:val="000000" w:themeColor="text1"/>
          <w:sz w:val="20"/>
          <w:szCs w:val="20"/>
        </w:rPr>
        <w:t>a giugno 2012, dunque per soli 6 mesi, il contributo sarebbe stato</w:t>
      </w:r>
      <w:r w:rsidR="00BC7015" w:rsidRPr="00A45056">
        <w:rPr>
          <w:rFonts w:ascii="Verdana" w:hAnsi="Verdana"/>
          <w:color w:val="000000" w:themeColor="text1"/>
          <w:sz w:val="20"/>
          <w:szCs w:val="20"/>
        </w:rPr>
        <w:t xml:space="preserve">, invece, determinato </w:t>
      </w:r>
      <w:r w:rsidR="000E7F3D" w:rsidRPr="00A45056">
        <w:rPr>
          <w:rFonts w:ascii="Verdana" w:hAnsi="Verdana"/>
          <w:color w:val="000000" w:themeColor="text1"/>
          <w:sz w:val="20"/>
          <w:szCs w:val="20"/>
        </w:rPr>
        <w:t xml:space="preserve">in base allo scaglione più basso. Dunque, in base all’art. 6 del contratto di servizio del 30/11/2007 l’importo fatturato da CISS a SOCIGESS è stato pari a € 280.000,00 + € 6.936,00 </w:t>
      </w:r>
      <w:r w:rsidR="003B4079" w:rsidRPr="00A45056">
        <w:rPr>
          <w:rFonts w:ascii="Verdana" w:hAnsi="Verdana"/>
          <w:color w:val="000000" w:themeColor="text1"/>
          <w:sz w:val="20"/>
          <w:szCs w:val="20"/>
        </w:rPr>
        <w:t>ISTAT</w:t>
      </w:r>
      <w:r w:rsidR="000E7F3D" w:rsidRPr="00A45056">
        <w:rPr>
          <w:rFonts w:ascii="Verdana" w:hAnsi="Verdana"/>
          <w:color w:val="000000" w:themeColor="text1"/>
          <w:sz w:val="20"/>
          <w:szCs w:val="20"/>
        </w:rPr>
        <w:t xml:space="preserve"> + € 9.000,00 (rateo della tredicesima farmacia aperta per 6 mesi di competenza, ovvero € 1.500 X 6 mesi) per un totale </w:t>
      </w:r>
      <w:r w:rsidR="006A4D58" w:rsidRPr="00A45056">
        <w:rPr>
          <w:rFonts w:ascii="Verdana" w:hAnsi="Verdana"/>
          <w:color w:val="000000" w:themeColor="text1"/>
          <w:sz w:val="20"/>
          <w:szCs w:val="20"/>
        </w:rPr>
        <w:t xml:space="preserve">di </w:t>
      </w:r>
      <w:r w:rsidR="000E7F3D" w:rsidRPr="00A45056">
        <w:rPr>
          <w:rFonts w:ascii="Verdana" w:hAnsi="Verdana"/>
          <w:color w:val="000000" w:themeColor="text1"/>
          <w:sz w:val="20"/>
          <w:szCs w:val="20"/>
        </w:rPr>
        <w:t>€ 295.936,00 anziché € 400.000,00. Peraltro, i</w:t>
      </w:r>
      <w:r w:rsidR="000E7F3D" w:rsidRPr="00A45056">
        <w:rPr>
          <w:rFonts w:ascii="Verdana" w:hAnsi="Verdana"/>
          <w:bCs/>
          <w:color w:val="000000" w:themeColor="text1"/>
          <w:sz w:val="20"/>
          <w:szCs w:val="20"/>
        </w:rPr>
        <w:t xml:space="preserve"> comuni con farmacia, ad inizio 2013, erano 13</w:t>
      </w:r>
      <w:r w:rsidR="00591519" w:rsidRPr="00A45056">
        <w:rPr>
          <w:rFonts w:ascii="Verdana" w:hAnsi="Verdana"/>
          <w:bCs/>
          <w:color w:val="000000" w:themeColor="text1"/>
          <w:sz w:val="20"/>
          <w:szCs w:val="20"/>
        </w:rPr>
        <w:t>,</w:t>
      </w:r>
      <w:r w:rsidR="000E7F3D" w:rsidRPr="00A45056">
        <w:rPr>
          <w:rFonts w:ascii="Verdana" w:hAnsi="Verdana"/>
          <w:bCs/>
          <w:color w:val="000000" w:themeColor="text1"/>
          <w:sz w:val="20"/>
          <w:szCs w:val="20"/>
        </w:rPr>
        <w:t xml:space="preserve"> quelli senza farmacia 4 (cfr. allegato 34.5 della relazione del DG). Nel primo semestre </w:t>
      </w:r>
      <w:r w:rsidR="00BC7015" w:rsidRPr="00A45056">
        <w:rPr>
          <w:rFonts w:ascii="Verdana" w:hAnsi="Verdana"/>
          <w:bCs/>
          <w:color w:val="000000" w:themeColor="text1"/>
          <w:sz w:val="20"/>
          <w:szCs w:val="20"/>
        </w:rPr>
        <w:t xml:space="preserve">2013, </w:t>
      </w:r>
      <w:r w:rsidR="000E7F3D" w:rsidRPr="00A45056">
        <w:rPr>
          <w:rFonts w:ascii="Verdana" w:hAnsi="Verdana"/>
          <w:bCs/>
          <w:color w:val="000000" w:themeColor="text1"/>
          <w:sz w:val="20"/>
          <w:szCs w:val="20"/>
        </w:rPr>
        <w:t xml:space="preserve">le farmacie aperte diventano addirittura 14 (cfr. </w:t>
      </w:r>
      <w:proofErr w:type="spellStart"/>
      <w:r w:rsidR="000E7F3D" w:rsidRPr="00A45056">
        <w:rPr>
          <w:rFonts w:ascii="Verdana" w:hAnsi="Verdana"/>
          <w:bCs/>
          <w:color w:val="000000" w:themeColor="text1"/>
          <w:sz w:val="20"/>
          <w:szCs w:val="20"/>
        </w:rPr>
        <w:t>all</w:t>
      </w:r>
      <w:proofErr w:type="spellEnd"/>
      <w:r w:rsidR="000E7F3D" w:rsidRPr="00A45056">
        <w:rPr>
          <w:rFonts w:ascii="Verdana" w:hAnsi="Verdana"/>
          <w:bCs/>
          <w:color w:val="000000" w:themeColor="text1"/>
          <w:sz w:val="20"/>
          <w:szCs w:val="20"/>
        </w:rPr>
        <w:t>. 6.1 relazione del DG)</w:t>
      </w:r>
      <w:r w:rsidR="00FD3117" w:rsidRPr="00A45056">
        <w:rPr>
          <w:rFonts w:ascii="Verdana" w:hAnsi="Verdana"/>
          <w:bCs/>
          <w:color w:val="000000" w:themeColor="text1"/>
          <w:sz w:val="20"/>
          <w:szCs w:val="20"/>
        </w:rPr>
        <w:t>.</w:t>
      </w:r>
    </w:p>
    <w:p w:rsidR="00264DCB" w:rsidRPr="00A45056" w:rsidRDefault="00264DCB">
      <w:pPr>
        <w:shd w:val="clear" w:color="auto" w:fill="FEFFFF"/>
        <w:spacing w:line="360" w:lineRule="auto"/>
        <w:ind w:firstLine="354"/>
        <w:jc w:val="both"/>
        <w:rPr>
          <w:rFonts w:ascii="Verdana" w:eastAsia="Verdana" w:hAnsi="Verdana" w:cs="Verdana"/>
          <w:color w:val="000000" w:themeColor="text1"/>
          <w:sz w:val="20"/>
          <w:szCs w:val="20"/>
          <w:shd w:val="clear" w:color="auto" w:fill="FFFF00"/>
        </w:rPr>
      </w:pPr>
    </w:p>
    <w:p w:rsidR="00264DCB" w:rsidRPr="00A45056" w:rsidRDefault="000E7F3D">
      <w:pPr>
        <w:shd w:val="clear" w:color="auto" w:fill="FEFFFF"/>
        <w:spacing w:line="360" w:lineRule="auto"/>
        <w:ind w:firstLine="354"/>
        <w:jc w:val="both"/>
        <w:rPr>
          <w:rFonts w:ascii="Verdana" w:eastAsia="Verdana" w:hAnsi="Verdana" w:cs="Verdana"/>
          <w:color w:val="000000" w:themeColor="text1"/>
          <w:sz w:val="20"/>
          <w:szCs w:val="20"/>
          <w:shd w:val="clear" w:color="auto" w:fill="FFFF00"/>
        </w:rPr>
      </w:pPr>
      <w:r w:rsidRPr="00A45056">
        <w:rPr>
          <w:rStyle w:val="Numeropagina"/>
          <w:rFonts w:ascii="Verdana" w:hAnsi="Verdana"/>
          <w:color w:val="000000" w:themeColor="text1"/>
          <w:sz w:val="20"/>
          <w:szCs w:val="20"/>
        </w:rPr>
        <w:lastRenderedPageBreak/>
        <w:t>Tabella F. Flussi finanziari tra CISS e INCO.FARMA NEL 2012. Fonte: relazione del Direttore generale.</w:t>
      </w:r>
    </w:p>
    <w:tbl>
      <w:tblPr>
        <w:tblStyle w:val="TableNormal"/>
        <w:tblW w:w="97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4"/>
        <w:gridCol w:w="1320"/>
        <w:gridCol w:w="4163"/>
        <w:gridCol w:w="1886"/>
        <w:gridCol w:w="1481"/>
      </w:tblGrid>
      <w:tr w:rsidR="00621A1D" w:rsidRPr="00F63A96" w:rsidTr="00621A1D">
        <w:trPr>
          <w:trHeight w:val="655"/>
        </w:trPr>
        <w:tc>
          <w:tcPr>
            <w:tcW w:w="9754"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b/>
                <w:bCs/>
                <w:color w:val="000000" w:themeColor="text1"/>
                <w:sz w:val="20"/>
                <w:szCs w:val="20"/>
              </w:rPr>
              <w:t>TABELLA FATTURATO A SOCIGESS S.p.A. E RELATIVI INCASSI DA PARTE DEL C.I.SS. IN BASE ALL</w:t>
            </w:r>
            <w:r w:rsidRPr="00F63A96">
              <w:rPr>
                <w:rFonts w:hAnsi="Arial"/>
                <w:b/>
                <w:bCs/>
                <w:color w:val="000000" w:themeColor="text1"/>
                <w:sz w:val="20"/>
                <w:szCs w:val="20"/>
              </w:rPr>
              <w:t>’</w:t>
            </w:r>
            <w:r w:rsidRPr="00F63A96">
              <w:rPr>
                <w:rFonts w:ascii="Arial"/>
                <w:b/>
                <w:bCs/>
                <w:color w:val="000000" w:themeColor="text1"/>
                <w:sz w:val="20"/>
                <w:szCs w:val="20"/>
              </w:rPr>
              <w:t xml:space="preserve">ART </w:t>
            </w:r>
            <w:proofErr w:type="gramStart"/>
            <w:r w:rsidRPr="00F63A96">
              <w:rPr>
                <w:rFonts w:ascii="Arial"/>
                <w:b/>
                <w:bCs/>
                <w:color w:val="000000" w:themeColor="text1"/>
                <w:sz w:val="20"/>
                <w:szCs w:val="20"/>
              </w:rPr>
              <w:t>6  CONTRATTO</w:t>
            </w:r>
            <w:proofErr w:type="gramEnd"/>
            <w:r w:rsidRPr="00F63A96">
              <w:rPr>
                <w:rFonts w:ascii="Arial"/>
                <w:b/>
                <w:bCs/>
                <w:color w:val="000000" w:themeColor="text1"/>
                <w:sz w:val="20"/>
                <w:szCs w:val="20"/>
              </w:rPr>
              <w:t xml:space="preserve"> DI SERVIZIO DEL 30/11/2007</w:t>
            </w:r>
          </w:p>
        </w:tc>
      </w:tr>
      <w:tr w:rsidR="00621A1D" w:rsidRPr="00F63A96" w:rsidTr="00863829">
        <w:trPr>
          <w:trHeight w:val="301"/>
        </w:trPr>
        <w:tc>
          <w:tcPr>
            <w:tcW w:w="9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b/>
                <w:bCs/>
                <w:color w:val="000000" w:themeColor="text1"/>
                <w:sz w:val="18"/>
                <w:szCs w:val="18"/>
              </w:rPr>
              <w:t>N.FATT</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b/>
                <w:bCs/>
                <w:color w:val="000000" w:themeColor="text1"/>
                <w:sz w:val="18"/>
                <w:szCs w:val="18"/>
              </w:rPr>
              <w:t>DATA OP.</w:t>
            </w:r>
          </w:p>
        </w:tc>
        <w:tc>
          <w:tcPr>
            <w:tcW w:w="41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b/>
                <w:bCs/>
                <w:color w:val="000000" w:themeColor="text1"/>
                <w:sz w:val="18"/>
                <w:szCs w:val="18"/>
              </w:rPr>
              <w:t>DESCRIZIONE</w:t>
            </w:r>
          </w:p>
        </w:tc>
        <w:tc>
          <w:tcPr>
            <w:tcW w:w="18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b/>
                <w:bCs/>
                <w:color w:val="000000" w:themeColor="text1"/>
                <w:sz w:val="18"/>
                <w:szCs w:val="18"/>
              </w:rPr>
              <w:t>FATTURATO</w:t>
            </w:r>
          </w:p>
        </w:tc>
        <w:tc>
          <w:tcPr>
            <w:tcW w:w="14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b/>
                <w:bCs/>
                <w:color w:val="000000" w:themeColor="text1"/>
                <w:sz w:val="18"/>
                <w:szCs w:val="18"/>
              </w:rPr>
              <w:t>INCASSATO</w:t>
            </w:r>
          </w:p>
        </w:tc>
      </w:tr>
      <w:tr w:rsidR="00621A1D" w:rsidRPr="00F63A96" w:rsidTr="00863829">
        <w:trPr>
          <w:trHeight w:val="301"/>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19/11/2012</w:t>
            </w:r>
          </w:p>
        </w:tc>
        <w:tc>
          <w:tcPr>
            <w:tcW w:w="4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863829" w:rsidRDefault="000E7F3D">
            <w:pPr>
              <w:rPr>
                <w:color w:val="000000" w:themeColor="text1"/>
                <w:sz w:val="16"/>
              </w:rPr>
            </w:pPr>
            <w:r w:rsidRPr="00863829">
              <w:rPr>
                <w:rFonts w:ascii="Arial"/>
                <w:color w:val="000000" w:themeColor="text1"/>
                <w:sz w:val="16"/>
                <w:szCs w:val="18"/>
              </w:rPr>
              <w:t>ACCONTO ANNO 2012</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121.000,00 </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r>
      <w:tr w:rsidR="00621A1D" w:rsidRPr="00F63A96" w:rsidTr="00863829">
        <w:trPr>
          <w:trHeight w:val="23"/>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16/02/2013</w:t>
            </w:r>
          </w:p>
        </w:tc>
        <w:tc>
          <w:tcPr>
            <w:tcW w:w="4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863829" w:rsidRDefault="000E7F3D">
            <w:pPr>
              <w:jc w:val="both"/>
              <w:rPr>
                <w:color w:val="000000" w:themeColor="text1"/>
                <w:sz w:val="16"/>
              </w:rPr>
            </w:pPr>
            <w:r w:rsidRPr="00863829">
              <w:rPr>
                <w:rFonts w:ascii="Arial"/>
                <w:color w:val="000000" w:themeColor="text1"/>
                <w:sz w:val="16"/>
                <w:szCs w:val="18"/>
              </w:rPr>
              <w:t xml:space="preserve">SALDO ANNO 2012 COMPRENSIVO </w:t>
            </w:r>
            <w:proofErr w:type="gramStart"/>
            <w:r w:rsidRPr="00863829">
              <w:rPr>
                <w:rFonts w:ascii="Arial"/>
                <w:color w:val="000000" w:themeColor="text1"/>
                <w:sz w:val="16"/>
                <w:szCs w:val="18"/>
              </w:rPr>
              <w:t>DI  ISTAT</w:t>
            </w:r>
            <w:proofErr w:type="gramEnd"/>
            <w:r w:rsidRPr="00863829">
              <w:rPr>
                <w:rFonts w:ascii="Arial"/>
                <w:color w:val="000000" w:themeColor="text1"/>
                <w:sz w:val="16"/>
                <w:szCs w:val="18"/>
              </w:rPr>
              <w:t xml:space="preserve"> (farmacie aperte n</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13, applicato art. 6 del contratto di servizio del 30/11/2007 di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280.000 + 6.936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[ISTAT] + 9.000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[TREDICESIMA FARMACIA PER 6 MESI DI COMPETENZA, OVVERO 1.500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X 6 MESI =  9.000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 = 295.936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174.936,00 </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r>
      <w:tr w:rsidR="00621A1D" w:rsidRPr="00F63A96" w:rsidTr="00863829">
        <w:trPr>
          <w:trHeight w:val="23"/>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hAnsi="Arial"/>
                <w:color w:val="000000" w:themeColor="text1"/>
                <w:sz w:val="18"/>
                <w:szCs w:val="18"/>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02/04/2013</w:t>
            </w:r>
          </w:p>
        </w:tc>
        <w:tc>
          <w:tcPr>
            <w:tcW w:w="4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863829" w:rsidRDefault="000E7F3D">
            <w:pPr>
              <w:rPr>
                <w:color w:val="000000" w:themeColor="text1"/>
                <w:sz w:val="16"/>
              </w:rPr>
            </w:pPr>
            <w:r w:rsidRPr="00863829">
              <w:rPr>
                <w:rFonts w:ascii="Arial"/>
                <w:color w:val="000000" w:themeColor="text1"/>
                <w:sz w:val="16"/>
                <w:szCs w:val="18"/>
              </w:rPr>
              <w:t>ACCONTO ANNO 2012 (RIF FATT.N</w:t>
            </w:r>
            <w:r w:rsidRPr="00863829">
              <w:rPr>
                <w:rFonts w:hAnsi="Arial"/>
                <w:color w:val="000000" w:themeColor="text1"/>
                <w:sz w:val="16"/>
                <w:szCs w:val="18"/>
              </w:rPr>
              <w:t>°</w:t>
            </w:r>
            <w:r w:rsidRPr="00863829">
              <w:rPr>
                <w:rFonts w:ascii="Arial"/>
                <w:color w:val="000000" w:themeColor="text1"/>
                <w:sz w:val="16"/>
                <w:szCs w:val="18"/>
              </w:rPr>
              <w:t>1 DEL 19/11/2012)</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50.000,00 </w:t>
            </w:r>
          </w:p>
        </w:tc>
      </w:tr>
      <w:tr w:rsidR="00621A1D" w:rsidRPr="00F63A96" w:rsidTr="00863829">
        <w:trPr>
          <w:trHeight w:val="23"/>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hAnsi="Arial"/>
                <w:color w:val="000000" w:themeColor="text1"/>
                <w:sz w:val="18"/>
                <w:szCs w:val="18"/>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13/08/2013</w:t>
            </w:r>
          </w:p>
        </w:tc>
        <w:tc>
          <w:tcPr>
            <w:tcW w:w="4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863829" w:rsidRDefault="000E7F3D">
            <w:pPr>
              <w:rPr>
                <w:color w:val="000000" w:themeColor="text1"/>
                <w:sz w:val="16"/>
              </w:rPr>
            </w:pPr>
            <w:r w:rsidRPr="00863829">
              <w:rPr>
                <w:rFonts w:ascii="Arial"/>
                <w:color w:val="000000" w:themeColor="text1"/>
                <w:sz w:val="16"/>
                <w:szCs w:val="18"/>
              </w:rPr>
              <w:t>ACCONTO ANNO 2012 (RIF FATT.N</w:t>
            </w:r>
            <w:r w:rsidRPr="00863829">
              <w:rPr>
                <w:rFonts w:hAnsi="Arial"/>
                <w:color w:val="000000" w:themeColor="text1"/>
                <w:sz w:val="16"/>
                <w:szCs w:val="18"/>
              </w:rPr>
              <w:t>°</w:t>
            </w:r>
            <w:r w:rsidRPr="00863829">
              <w:rPr>
                <w:rFonts w:ascii="Arial"/>
                <w:color w:val="000000" w:themeColor="text1"/>
                <w:sz w:val="16"/>
                <w:szCs w:val="18"/>
              </w:rPr>
              <w:t>1 DEL 19/11/2012)</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71.000,00 </w:t>
            </w:r>
          </w:p>
        </w:tc>
      </w:tr>
      <w:tr w:rsidR="00621A1D" w:rsidRPr="00F63A96" w:rsidTr="00863829">
        <w:trPr>
          <w:trHeight w:val="23"/>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12/11/2013</w:t>
            </w:r>
          </w:p>
        </w:tc>
        <w:tc>
          <w:tcPr>
            <w:tcW w:w="4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863829" w:rsidRDefault="000E7F3D">
            <w:pPr>
              <w:jc w:val="both"/>
              <w:rPr>
                <w:color w:val="000000" w:themeColor="text1"/>
                <w:sz w:val="16"/>
              </w:rPr>
            </w:pPr>
            <w:r w:rsidRPr="00863829">
              <w:rPr>
                <w:rFonts w:ascii="Arial"/>
                <w:color w:val="000000" w:themeColor="text1"/>
                <w:sz w:val="16"/>
                <w:szCs w:val="18"/>
              </w:rPr>
              <w:t xml:space="preserve">NOTA DI CREDITO ANNO 2012 (per utile ricevuto nell'anno 2013 da </w:t>
            </w:r>
            <w:proofErr w:type="spellStart"/>
            <w:r w:rsidRPr="00863829">
              <w:rPr>
                <w:rFonts w:ascii="Arial"/>
                <w:color w:val="000000" w:themeColor="text1"/>
                <w:sz w:val="16"/>
                <w:szCs w:val="18"/>
              </w:rPr>
              <w:t>Incofarma</w:t>
            </w:r>
            <w:proofErr w:type="spellEnd"/>
            <w:r w:rsidRPr="00863829">
              <w:rPr>
                <w:rFonts w:ascii="Arial"/>
                <w:color w:val="000000" w:themeColor="text1"/>
                <w:sz w:val="16"/>
                <w:szCs w:val="18"/>
              </w:rPr>
              <w:t xml:space="preserve"> S.p.A. CFR art. 6 del contratto di servizio del 30/11/2007)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Style w:val="Numeropagina"/>
                <w:rFonts w:hAnsi="Arial"/>
                <w:color w:val="000000" w:themeColor="text1"/>
                <w:sz w:val="18"/>
                <w:szCs w:val="18"/>
              </w:rPr>
              <w:t xml:space="preserve"> </w:t>
            </w:r>
            <w:r w:rsidRPr="00F63A96">
              <w:rPr>
                <w:rStyle w:val="Numeropagina"/>
                <w:rFonts w:hAnsi="Arial"/>
                <w:color w:val="000000" w:themeColor="text1"/>
                <w:sz w:val="18"/>
                <w:szCs w:val="18"/>
              </w:rPr>
              <w:t>€</w:t>
            </w:r>
            <w:r w:rsidRPr="00F63A96">
              <w:rPr>
                <w:rStyle w:val="Numeropagina"/>
                <w:rFonts w:hAnsi="Arial"/>
                <w:color w:val="000000" w:themeColor="text1"/>
                <w:sz w:val="18"/>
                <w:szCs w:val="18"/>
              </w:rPr>
              <w:t xml:space="preserve">   </w:t>
            </w:r>
            <w:r w:rsidRPr="00F63A96">
              <w:rPr>
                <w:rStyle w:val="Numeropagina"/>
                <w:rFonts w:ascii="Arial"/>
                <w:color w:val="000000" w:themeColor="text1"/>
                <w:sz w:val="18"/>
                <w:szCs w:val="18"/>
              </w:rPr>
              <w:t xml:space="preserve">71.500,00 </w:t>
            </w:r>
          </w:p>
        </w:tc>
      </w:tr>
      <w:tr w:rsidR="00621A1D" w:rsidRPr="00F63A96" w:rsidTr="00863829">
        <w:trPr>
          <w:trHeight w:val="23"/>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hAnsi="Arial"/>
                <w:color w:val="000000" w:themeColor="text1"/>
                <w:sz w:val="18"/>
                <w:szCs w:val="18"/>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14/11/2013</w:t>
            </w:r>
          </w:p>
        </w:tc>
        <w:tc>
          <w:tcPr>
            <w:tcW w:w="4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863829" w:rsidRDefault="000E7F3D">
            <w:pPr>
              <w:rPr>
                <w:color w:val="000000" w:themeColor="text1"/>
                <w:sz w:val="16"/>
              </w:rPr>
            </w:pPr>
            <w:r w:rsidRPr="00863829">
              <w:rPr>
                <w:rFonts w:ascii="Arial"/>
                <w:color w:val="000000" w:themeColor="text1"/>
                <w:sz w:val="16"/>
                <w:szCs w:val="18"/>
              </w:rPr>
              <w:t>SALDO ANNO 2012 (RIF. FATT.N</w:t>
            </w:r>
            <w:r w:rsidRPr="00863829">
              <w:rPr>
                <w:rFonts w:hAnsi="Arial"/>
                <w:color w:val="000000" w:themeColor="text1"/>
                <w:sz w:val="16"/>
                <w:szCs w:val="18"/>
              </w:rPr>
              <w:t>°</w:t>
            </w:r>
            <w:r w:rsidRPr="00863829">
              <w:rPr>
                <w:rFonts w:ascii="Arial"/>
                <w:color w:val="000000" w:themeColor="text1"/>
                <w:sz w:val="16"/>
                <w:szCs w:val="18"/>
              </w:rPr>
              <w:t>1 DEL 16/02/2013)</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103.436,00 </w:t>
            </w:r>
          </w:p>
        </w:tc>
      </w:tr>
      <w:tr w:rsidR="00621A1D" w:rsidRPr="00F63A96" w:rsidTr="00863829">
        <w:trPr>
          <w:trHeight w:val="310"/>
        </w:trPr>
        <w:tc>
          <w:tcPr>
            <w:tcW w:w="9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264DCB">
            <w:pPr>
              <w:rPr>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264DCB">
            <w:pPr>
              <w:rPr>
                <w:color w:val="000000" w:themeColor="text1"/>
              </w:rPr>
            </w:pPr>
          </w:p>
        </w:tc>
        <w:tc>
          <w:tcPr>
            <w:tcW w:w="4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b/>
                <w:bCs/>
                <w:color w:val="000000" w:themeColor="text1"/>
                <w:sz w:val="18"/>
                <w:szCs w:val="18"/>
              </w:rPr>
              <w:t xml:space="preserve">TOTALE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b/>
                <w:bCs/>
                <w:color w:val="000000" w:themeColor="text1"/>
                <w:sz w:val="18"/>
                <w:szCs w:val="18"/>
              </w:rPr>
              <w:t>€</w:t>
            </w:r>
            <w:r w:rsidRPr="00F63A96">
              <w:rPr>
                <w:rFonts w:hAnsi="Arial"/>
                <w:b/>
                <w:bCs/>
                <w:color w:val="000000" w:themeColor="text1"/>
                <w:sz w:val="18"/>
                <w:szCs w:val="18"/>
              </w:rPr>
              <w:t xml:space="preserve">          </w:t>
            </w:r>
            <w:r w:rsidRPr="00F63A96">
              <w:rPr>
                <w:rFonts w:ascii="Arial"/>
                <w:b/>
                <w:bCs/>
                <w:color w:val="000000" w:themeColor="text1"/>
                <w:sz w:val="18"/>
                <w:szCs w:val="18"/>
              </w:rPr>
              <w:t>295.936,00</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b/>
                <w:bCs/>
                <w:color w:val="000000" w:themeColor="text1"/>
                <w:sz w:val="18"/>
                <w:szCs w:val="18"/>
              </w:rPr>
              <w:t>€</w:t>
            </w:r>
            <w:r w:rsidRPr="00F63A96">
              <w:rPr>
                <w:rFonts w:hAnsi="Arial"/>
                <w:b/>
                <w:bCs/>
                <w:color w:val="000000" w:themeColor="text1"/>
                <w:sz w:val="18"/>
                <w:szCs w:val="18"/>
              </w:rPr>
              <w:t xml:space="preserve"> </w:t>
            </w:r>
            <w:r w:rsidRPr="00F63A96">
              <w:rPr>
                <w:rFonts w:ascii="Arial"/>
                <w:b/>
                <w:bCs/>
                <w:color w:val="000000" w:themeColor="text1"/>
                <w:sz w:val="18"/>
                <w:szCs w:val="18"/>
              </w:rPr>
              <w:t>295.936,00</w:t>
            </w:r>
          </w:p>
        </w:tc>
      </w:tr>
    </w:tbl>
    <w:p w:rsidR="00264DCB" w:rsidRPr="00F63A96" w:rsidRDefault="00264DCB">
      <w:pPr>
        <w:widowControl w:val="0"/>
        <w:shd w:val="clear" w:color="auto" w:fill="FEFFFF"/>
        <w:ind w:firstLine="354"/>
        <w:jc w:val="both"/>
        <w:rPr>
          <w:rFonts w:ascii="Verdana" w:eastAsia="Verdana" w:hAnsi="Verdana" w:cs="Verdana"/>
          <w:color w:val="000000" w:themeColor="text1"/>
          <w:sz w:val="20"/>
          <w:szCs w:val="20"/>
          <w:shd w:val="clear" w:color="auto" w:fill="FFFF00"/>
        </w:rPr>
      </w:pPr>
    </w:p>
    <w:p w:rsidR="00264DCB" w:rsidRPr="00A45056" w:rsidRDefault="000E7F3D" w:rsidP="003807BC">
      <w:pPr>
        <w:shd w:val="clear" w:color="auto" w:fill="FEFFFF"/>
        <w:spacing w:line="360" w:lineRule="auto"/>
        <w:ind w:firstLine="708"/>
        <w:jc w:val="both"/>
        <w:rPr>
          <w:rFonts w:ascii="Verdana" w:eastAsia="Verdana" w:hAnsi="Verdana" w:cs="Verdana"/>
          <w:color w:val="000000" w:themeColor="text1"/>
          <w:sz w:val="20"/>
          <w:szCs w:val="20"/>
        </w:rPr>
      </w:pPr>
      <w:r w:rsidRPr="00A45056">
        <w:rPr>
          <w:rFonts w:ascii="Verdana" w:hAnsi="Verdana"/>
          <w:color w:val="000000" w:themeColor="text1"/>
          <w:sz w:val="20"/>
          <w:szCs w:val="20"/>
        </w:rPr>
        <w:t>Nel</w:t>
      </w:r>
      <w:r w:rsidRPr="00A45056">
        <w:rPr>
          <w:rFonts w:ascii="Verdana" w:hAnsi="Verdana"/>
          <w:b/>
          <w:bCs/>
          <w:color w:val="000000" w:themeColor="text1"/>
          <w:sz w:val="20"/>
          <w:szCs w:val="20"/>
        </w:rPr>
        <w:t xml:space="preserve"> 2013</w:t>
      </w:r>
      <w:r w:rsidRPr="00A45056">
        <w:rPr>
          <w:rFonts w:ascii="Verdana" w:hAnsi="Verdana"/>
          <w:color w:val="000000" w:themeColor="text1"/>
          <w:sz w:val="20"/>
          <w:szCs w:val="20"/>
        </w:rPr>
        <w:t xml:space="preserve">, </w:t>
      </w:r>
      <w:r w:rsidR="00D9589F" w:rsidRPr="00A45056">
        <w:rPr>
          <w:rFonts w:ascii="Verdana" w:hAnsi="Verdana"/>
          <w:color w:val="000000" w:themeColor="text1"/>
          <w:sz w:val="20"/>
          <w:szCs w:val="20"/>
        </w:rPr>
        <w:t xml:space="preserve">in base alla </w:t>
      </w:r>
      <w:r w:rsidRPr="00A45056">
        <w:rPr>
          <w:rFonts w:ascii="Verdana" w:hAnsi="Verdana"/>
          <w:color w:val="000000" w:themeColor="text1"/>
          <w:sz w:val="20"/>
          <w:szCs w:val="20"/>
        </w:rPr>
        <w:t xml:space="preserve">convenzione </w:t>
      </w:r>
      <w:r w:rsidR="00D9589F" w:rsidRPr="00A45056">
        <w:rPr>
          <w:rFonts w:ascii="Verdana" w:hAnsi="Verdana"/>
          <w:color w:val="000000" w:themeColor="text1"/>
          <w:sz w:val="20"/>
          <w:szCs w:val="20"/>
        </w:rPr>
        <w:t xml:space="preserve">2007 </w:t>
      </w:r>
      <w:r w:rsidRPr="00A45056">
        <w:rPr>
          <w:rFonts w:ascii="Verdana" w:hAnsi="Verdana"/>
          <w:color w:val="000000" w:themeColor="text1"/>
          <w:sz w:val="20"/>
          <w:szCs w:val="20"/>
        </w:rPr>
        <w:t>a regime, il CISS avrebbe dovuto percepire un compenso omnicomprensivo di € 400</w:t>
      </w:r>
      <w:r w:rsidR="00FD3117" w:rsidRPr="00A45056">
        <w:rPr>
          <w:rFonts w:ascii="Verdana" w:hAnsi="Verdana"/>
          <w:color w:val="000000" w:themeColor="text1"/>
          <w:sz w:val="20"/>
          <w:szCs w:val="20"/>
        </w:rPr>
        <w:t>.000,00</w:t>
      </w:r>
      <w:r w:rsidRPr="00A45056">
        <w:rPr>
          <w:rFonts w:ascii="Verdana" w:hAnsi="Verdana"/>
          <w:color w:val="000000" w:themeColor="text1"/>
          <w:sz w:val="20"/>
          <w:szCs w:val="20"/>
        </w:rPr>
        <w:t xml:space="preserve">. </w:t>
      </w:r>
      <w:r w:rsidR="00D9589F" w:rsidRPr="00A45056">
        <w:rPr>
          <w:rFonts w:ascii="Verdana" w:hAnsi="Verdana"/>
          <w:color w:val="000000" w:themeColor="text1"/>
          <w:sz w:val="20"/>
          <w:szCs w:val="20"/>
        </w:rPr>
        <w:t xml:space="preserve">Tuttavia, attesa la non convenienza del contratto di servizio 2007 per il socio privato, </w:t>
      </w:r>
      <w:r w:rsidRPr="00A45056">
        <w:rPr>
          <w:rFonts w:ascii="Verdana" w:hAnsi="Verdana"/>
          <w:color w:val="000000" w:themeColor="text1"/>
          <w:sz w:val="20"/>
          <w:szCs w:val="20"/>
        </w:rPr>
        <w:t xml:space="preserve">a fine 2013 </w:t>
      </w:r>
      <w:r w:rsidR="00D9589F" w:rsidRPr="00A45056">
        <w:rPr>
          <w:rFonts w:ascii="Verdana" w:hAnsi="Verdana"/>
          <w:color w:val="000000" w:themeColor="text1"/>
          <w:sz w:val="20"/>
          <w:szCs w:val="20"/>
        </w:rPr>
        <w:t>ve</w:t>
      </w:r>
      <w:r w:rsidR="00E073E8" w:rsidRPr="00A45056">
        <w:rPr>
          <w:rFonts w:ascii="Verdana" w:hAnsi="Verdana"/>
          <w:color w:val="000000" w:themeColor="text1"/>
          <w:sz w:val="20"/>
          <w:szCs w:val="20"/>
        </w:rPr>
        <w:t>niva</w:t>
      </w:r>
      <w:r w:rsidR="00D9589F" w:rsidRPr="00A45056">
        <w:rPr>
          <w:rFonts w:ascii="Verdana" w:hAnsi="Verdana"/>
          <w:color w:val="000000" w:themeColor="text1"/>
          <w:sz w:val="20"/>
          <w:szCs w:val="20"/>
        </w:rPr>
        <w:t xml:space="preserve"> approvata una nuova convenzione,</w:t>
      </w:r>
      <w:r w:rsidRPr="00A45056">
        <w:rPr>
          <w:rFonts w:ascii="Verdana" w:hAnsi="Verdana"/>
          <w:color w:val="000000" w:themeColor="text1"/>
          <w:sz w:val="20"/>
          <w:szCs w:val="20"/>
        </w:rPr>
        <w:t xml:space="preserve"> </w:t>
      </w:r>
      <w:r w:rsidR="00D9589F" w:rsidRPr="00A45056">
        <w:rPr>
          <w:rFonts w:ascii="Verdana" w:hAnsi="Verdana"/>
          <w:color w:val="000000" w:themeColor="text1"/>
          <w:sz w:val="20"/>
          <w:szCs w:val="20"/>
        </w:rPr>
        <w:t>che ridimensiona</w:t>
      </w:r>
      <w:r w:rsidR="007E4BE3" w:rsidRPr="00A45056">
        <w:rPr>
          <w:rFonts w:ascii="Verdana" w:hAnsi="Verdana"/>
          <w:color w:val="000000" w:themeColor="text1"/>
          <w:sz w:val="20"/>
          <w:szCs w:val="20"/>
        </w:rPr>
        <w:t>va</w:t>
      </w:r>
      <w:r w:rsidR="00D9589F" w:rsidRPr="00A45056">
        <w:rPr>
          <w:rFonts w:ascii="Verdana" w:hAnsi="Verdana"/>
          <w:color w:val="000000" w:themeColor="text1"/>
          <w:sz w:val="20"/>
          <w:szCs w:val="20"/>
        </w:rPr>
        <w:t xml:space="preserve"> con effetto retroattivo </w:t>
      </w:r>
      <w:r w:rsidRPr="00A45056">
        <w:rPr>
          <w:rFonts w:ascii="Verdana" w:hAnsi="Verdana"/>
          <w:color w:val="000000" w:themeColor="text1"/>
          <w:sz w:val="20"/>
          <w:szCs w:val="20"/>
        </w:rPr>
        <w:t>le spettanze del CISS</w:t>
      </w:r>
      <w:r w:rsidR="007E4BE3" w:rsidRPr="00A45056">
        <w:rPr>
          <w:rFonts w:ascii="Verdana" w:hAnsi="Verdana"/>
          <w:color w:val="000000" w:themeColor="text1"/>
          <w:sz w:val="20"/>
          <w:szCs w:val="20"/>
        </w:rPr>
        <w:t>.</w:t>
      </w:r>
      <w:r w:rsidR="0087021F" w:rsidRPr="00A45056">
        <w:rPr>
          <w:rStyle w:val="Numeropagina"/>
          <w:rFonts w:ascii="Verdana" w:hAnsi="Verdana"/>
          <w:color w:val="000000" w:themeColor="text1"/>
          <w:sz w:val="20"/>
          <w:szCs w:val="20"/>
        </w:rPr>
        <w:t xml:space="preserve"> </w:t>
      </w:r>
      <w:r w:rsidR="0087021F" w:rsidRPr="00A45056">
        <w:rPr>
          <w:rStyle w:val="Numeropagina"/>
          <w:rFonts w:ascii="Verdana" w:hAnsi="Verdana"/>
          <w:color w:val="000000" w:themeColor="text1"/>
          <w:sz w:val="20"/>
          <w:szCs w:val="20"/>
          <w:u w:val="single"/>
        </w:rPr>
        <w:t>Il nuovo contratto di servizio,</w:t>
      </w:r>
      <w:r w:rsidR="00183421" w:rsidRPr="00A45056">
        <w:rPr>
          <w:rStyle w:val="Numeropagina"/>
          <w:rFonts w:ascii="Verdana" w:hAnsi="Verdana"/>
          <w:color w:val="000000" w:themeColor="text1"/>
          <w:sz w:val="20"/>
          <w:szCs w:val="20"/>
          <w:u w:val="single"/>
        </w:rPr>
        <w:t xml:space="preserve"> </w:t>
      </w:r>
      <w:r w:rsidR="0087021F" w:rsidRPr="00A45056">
        <w:rPr>
          <w:rStyle w:val="Numeropagina"/>
          <w:rFonts w:ascii="Verdana" w:hAnsi="Verdana"/>
          <w:color w:val="000000" w:themeColor="text1"/>
          <w:sz w:val="20"/>
          <w:szCs w:val="20"/>
          <w:u w:val="single"/>
        </w:rPr>
        <w:t>deliberato dall’Assemblea ordinaria del Consorzio CISS del 11/12/2013</w:t>
      </w:r>
      <w:r w:rsidR="0087021F" w:rsidRPr="00A45056">
        <w:rPr>
          <w:rStyle w:val="Numeropagina"/>
          <w:rFonts w:ascii="Verdana" w:hAnsi="Verdana"/>
          <w:color w:val="000000" w:themeColor="text1"/>
          <w:sz w:val="20"/>
          <w:szCs w:val="20"/>
        </w:rPr>
        <w:t xml:space="preserve">, (cfr. allegato n° 7 “verbale di assemblea ordinaria C.I.SS. del 11/12/2013 sulla modifica del contratto di servizio tra C.I.SS. – </w:t>
      </w:r>
      <w:r w:rsidR="003B4079">
        <w:rPr>
          <w:rStyle w:val="Numeropagina"/>
          <w:rFonts w:ascii="Verdana" w:hAnsi="Verdana"/>
          <w:color w:val="000000" w:themeColor="text1"/>
          <w:sz w:val="20"/>
          <w:szCs w:val="20"/>
        </w:rPr>
        <w:t>INCOFARMA</w:t>
      </w:r>
      <w:r w:rsidR="0087021F" w:rsidRPr="00A45056">
        <w:rPr>
          <w:rStyle w:val="Numeropagina"/>
          <w:rFonts w:ascii="Verdana" w:hAnsi="Verdana"/>
          <w:color w:val="000000" w:themeColor="text1"/>
          <w:sz w:val="20"/>
          <w:szCs w:val="20"/>
        </w:rPr>
        <w:t xml:space="preserve"> S.P.A. – SOCIGESS S.P.A.”) e stipulato con </w:t>
      </w:r>
      <w:proofErr w:type="spellStart"/>
      <w:r w:rsidR="0087021F" w:rsidRPr="00A45056">
        <w:rPr>
          <w:rStyle w:val="Numeropagina"/>
          <w:rFonts w:ascii="Verdana" w:hAnsi="Verdana"/>
          <w:color w:val="000000" w:themeColor="text1"/>
          <w:sz w:val="20"/>
          <w:szCs w:val="20"/>
        </w:rPr>
        <w:t>prot</w:t>
      </w:r>
      <w:proofErr w:type="spellEnd"/>
      <w:r w:rsidR="0087021F" w:rsidRPr="00A45056">
        <w:rPr>
          <w:rStyle w:val="Numeropagina"/>
          <w:rFonts w:ascii="Verdana" w:hAnsi="Verdana"/>
          <w:color w:val="000000" w:themeColor="text1"/>
          <w:sz w:val="20"/>
          <w:szCs w:val="20"/>
        </w:rPr>
        <w:t>. CISS 1461 del 15 gennaio 2014) infatti, dispone</w:t>
      </w:r>
      <w:r w:rsidR="007B6CB9" w:rsidRPr="00A45056">
        <w:rPr>
          <w:rStyle w:val="Numeropagina"/>
          <w:rFonts w:ascii="Verdana" w:hAnsi="Verdana"/>
          <w:color w:val="000000" w:themeColor="text1"/>
          <w:sz w:val="20"/>
          <w:szCs w:val="20"/>
        </w:rPr>
        <w:t>va</w:t>
      </w:r>
      <w:r w:rsidR="0087021F" w:rsidRPr="00A45056">
        <w:rPr>
          <w:rStyle w:val="Numeropagina"/>
          <w:rFonts w:ascii="Verdana" w:hAnsi="Verdana"/>
          <w:color w:val="000000" w:themeColor="text1"/>
          <w:sz w:val="20"/>
          <w:szCs w:val="20"/>
        </w:rPr>
        <w:t xml:space="preserve"> in favore di</w:t>
      </w:r>
      <w:r w:rsidR="00183421" w:rsidRPr="00A45056">
        <w:rPr>
          <w:rStyle w:val="Numeropagina"/>
          <w:rFonts w:ascii="Verdana" w:hAnsi="Verdana"/>
          <w:color w:val="000000" w:themeColor="text1"/>
          <w:sz w:val="20"/>
          <w:szCs w:val="20"/>
        </w:rPr>
        <w:t xml:space="preserve"> </w:t>
      </w:r>
      <w:r w:rsidRPr="00A45056">
        <w:rPr>
          <w:rFonts w:ascii="Verdana" w:hAnsi="Verdana"/>
          <w:color w:val="000000" w:themeColor="text1"/>
          <w:sz w:val="20"/>
          <w:szCs w:val="20"/>
        </w:rPr>
        <w:t>SOCIGESS una dilazione in tre anni del quantum dovuto</w:t>
      </w:r>
      <w:r w:rsidR="00A805A2" w:rsidRPr="00A45056">
        <w:rPr>
          <w:rFonts w:ascii="Verdana" w:hAnsi="Verdana"/>
          <w:color w:val="000000" w:themeColor="text1"/>
          <w:sz w:val="20"/>
          <w:szCs w:val="20"/>
        </w:rPr>
        <w:t>, nel 2013,</w:t>
      </w:r>
      <w:r w:rsidRPr="00A45056">
        <w:rPr>
          <w:rFonts w:ascii="Verdana" w:hAnsi="Verdana"/>
          <w:color w:val="000000" w:themeColor="text1"/>
          <w:sz w:val="20"/>
          <w:szCs w:val="20"/>
        </w:rPr>
        <w:t xml:space="preserve"> in base al </w:t>
      </w:r>
      <w:r w:rsidR="00A805A2" w:rsidRPr="00A45056">
        <w:rPr>
          <w:rFonts w:ascii="Verdana" w:hAnsi="Verdana"/>
          <w:color w:val="000000" w:themeColor="text1"/>
          <w:sz w:val="20"/>
          <w:szCs w:val="20"/>
        </w:rPr>
        <w:t>sistema a regime (</w:t>
      </w:r>
      <w:r w:rsidRPr="00A45056">
        <w:rPr>
          <w:rFonts w:ascii="Verdana" w:hAnsi="Verdana"/>
          <w:color w:val="000000" w:themeColor="text1"/>
          <w:sz w:val="20"/>
          <w:szCs w:val="20"/>
        </w:rPr>
        <w:t xml:space="preserve">articolo 6 del contratto di servizi </w:t>
      </w:r>
      <w:proofErr w:type="spellStart"/>
      <w:r w:rsidRPr="00A45056">
        <w:rPr>
          <w:rFonts w:ascii="Verdana" w:hAnsi="Verdana"/>
          <w:color w:val="000000" w:themeColor="text1"/>
          <w:sz w:val="20"/>
          <w:szCs w:val="20"/>
        </w:rPr>
        <w:t>prot</w:t>
      </w:r>
      <w:proofErr w:type="spellEnd"/>
      <w:r w:rsidRPr="00A45056">
        <w:rPr>
          <w:rFonts w:ascii="Verdana" w:hAnsi="Verdana"/>
          <w:color w:val="000000" w:themeColor="text1"/>
          <w:sz w:val="20"/>
          <w:szCs w:val="20"/>
        </w:rPr>
        <w:t>. n. 356 del 30/11/2007), e che si rammenta prevedeva un contributo onnicomprensivo di € 400</w:t>
      </w:r>
      <w:r w:rsidR="00A97A40" w:rsidRPr="00A45056">
        <w:rPr>
          <w:rFonts w:ascii="Verdana" w:hAnsi="Verdana"/>
          <w:color w:val="000000" w:themeColor="text1"/>
          <w:sz w:val="20"/>
          <w:szCs w:val="20"/>
        </w:rPr>
        <w:t>.000,00</w:t>
      </w:r>
      <w:r w:rsidR="00A805A2" w:rsidRPr="00A45056">
        <w:rPr>
          <w:rFonts w:ascii="Verdana" w:hAnsi="Verdana"/>
          <w:color w:val="000000" w:themeColor="text1"/>
          <w:sz w:val="20"/>
          <w:szCs w:val="20"/>
        </w:rPr>
        <w:t xml:space="preserve"> su base annua</w:t>
      </w:r>
      <w:r w:rsidRPr="00A45056">
        <w:rPr>
          <w:rFonts w:ascii="Verdana" w:hAnsi="Verdana"/>
          <w:color w:val="000000" w:themeColor="text1"/>
          <w:sz w:val="20"/>
          <w:szCs w:val="20"/>
        </w:rPr>
        <w:t xml:space="preserve">. Tale rateizzazione consisteva nella previsione di pagamenti di: </w:t>
      </w:r>
    </w:p>
    <w:p w:rsidR="00264DCB" w:rsidRPr="00A45056" w:rsidRDefault="000E7F3D">
      <w:pPr>
        <w:pStyle w:val="Paragrafoelenco"/>
        <w:numPr>
          <w:ilvl w:val="0"/>
          <w:numId w:val="23"/>
        </w:numPr>
        <w:shd w:val="clear" w:color="auto" w:fill="FEFFFF"/>
        <w:tabs>
          <w:tab w:val="clear" w:pos="714"/>
          <w:tab w:val="num" w:pos="786"/>
        </w:tabs>
        <w:spacing w:line="360" w:lineRule="auto"/>
        <w:ind w:left="786" w:hanging="432"/>
        <w:jc w:val="both"/>
        <w:rPr>
          <w:rFonts w:ascii="Verdana" w:eastAsia="Verdana" w:hAnsi="Verdana" w:cs="Verdana"/>
          <w:color w:val="000000" w:themeColor="text1"/>
        </w:rPr>
      </w:pPr>
      <w:r w:rsidRPr="00A45056">
        <w:rPr>
          <w:rFonts w:ascii="Verdana" w:hAnsi="Verdana"/>
          <w:color w:val="000000" w:themeColor="text1"/>
          <w:sz w:val="20"/>
          <w:szCs w:val="20"/>
        </w:rPr>
        <w:t>€ 200.000,00</w:t>
      </w:r>
      <w:r w:rsidR="00AC5939" w:rsidRPr="00A45056">
        <w:rPr>
          <w:rFonts w:ascii="Verdana" w:hAnsi="Verdana"/>
          <w:color w:val="000000" w:themeColor="text1"/>
          <w:sz w:val="20"/>
          <w:szCs w:val="20"/>
        </w:rPr>
        <w:t>,</w:t>
      </w:r>
      <w:r w:rsidRPr="00A45056">
        <w:rPr>
          <w:rFonts w:ascii="Verdana" w:hAnsi="Verdana"/>
          <w:color w:val="000000" w:themeColor="text1"/>
          <w:sz w:val="20"/>
          <w:szCs w:val="20"/>
        </w:rPr>
        <w:t xml:space="preserve"> iva </w:t>
      </w:r>
      <w:proofErr w:type="gramStart"/>
      <w:r w:rsidRPr="00A45056">
        <w:rPr>
          <w:rFonts w:ascii="Verdana" w:hAnsi="Verdana"/>
          <w:color w:val="000000" w:themeColor="text1"/>
          <w:sz w:val="20"/>
          <w:szCs w:val="20"/>
        </w:rPr>
        <w:t>inclusa</w:t>
      </w:r>
      <w:r w:rsidR="00AC5939" w:rsidRPr="00A45056">
        <w:rPr>
          <w:rFonts w:ascii="Verdana" w:hAnsi="Verdana"/>
          <w:color w:val="000000" w:themeColor="text1"/>
          <w:sz w:val="20"/>
          <w:szCs w:val="20"/>
        </w:rPr>
        <w:t>,</w:t>
      </w:r>
      <w:r w:rsidRPr="00A45056">
        <w:rPr>
          <w:rFonts w:ascii="Verdana" w:hAnsi="Verdana"/>
          <w:color w:val="000000" w:themeColor="text1"/>
          <w:sz w:val="20"/>
          <w:szCs w:val="20"/>
        </w:rPr>
        <w:t xml:space="preserve">  nel</w:t>
      </w:r>
      <w:proofErr w:type="gramEnd"/>
      <w:r w:rsidRPr="00A45056">
        <w:rPr>
          <w:rFonts w:ascii="Verdana" w:hAnsi="Verdana"/>
          <w:color w:val="000000" w:themeColor="text1"/>
          <w:sz w:val="20"/>
          <w:szCs w:val="20"/>
        </w:rPr>
        <w:t xml:space="preserve"> 2013; </w:t>
      </w:r>
    </w:p>
    <w:p w:rsidR="00264DCB" w:rsidRPr="00A45056" w:rsidRDefault="000E7F3D">
      <w:pPr>
        <w:pStyle w:val="Paragrafoelenco"/>
        <w:numPr>
          <w:ilvl w:val="0"/>
          <w:numId w:val="24"/>
        </w:numPr>
        <w:shd w:val="clear" w:color="auto" w:fill="FEFFFF"/>
        <w:tabs>
          <w:tab w:val="clear" w:pos="714"/>
          <w:tab w:val="num" w:pos="786"/>
        </w:tabs>
        <w:spacing w:line="360" w:lineRule="auto"/>
        <w:ind w:left="786" w:hanging="432"/>
        <w:jc w:val="both"/>
        <w:rPr>
          <w:rFonts w:ascii="Verdana" w:eastAsia="Verdana" w:hAnsi="Verdana" w:cs="Verdana"/>
          <w:color w:val="000000" w:themeColor="text1"/>
          <w:shd w:val="clear" w:color="auto" w:fill="FFFF00"/>
        </w:rPr>
      </w:pPr>
      <w:r w:rsidRPr="00A45056">
        <w:rPr>
          <w:rFonts w:ascii="Verdana" w:hAnsi="Verdana"/>
          <w:color w:val="000000" w:themeColor="text1"/>
          <w:sz w:val="20"/>
          <w:szCs w:val="20"/>
        </w:rPr>
        <w:t>€ 100.000</w:t>
      </w:r>
      <w:r w:rsidR="008D2016" w:rsidRPr="00A45056">
        <w:rPr>
          <w:rFonts w:ascii="Verdana" w:hAnsi="Verdana"/>
          <w:color w:val="000000" w:themeColor="text1"/>
          <w:sz w:val="20"/>
          <w:szCs w:val="20"/>
        </w:rPr>
        <w:t>,00</w:t>
      </w:r>
      <w:r w:rsidR="00AC5939" w:rsidRPr="00A45056">
        <w:rPr>
          <w:rFonts w:ascii="Verdana" w:hAnsi="Verdana"/>
          <w:color w:val="000000" w:themeColor="text1"/>
          <w:sz w:val="20"/>
          <w:szCs w:val="20"/>
        </w:rPr>
        <w:t>,</w:t>
      </w:r>
      <w:r w:rsidRPr="00A45056">
        <w:rPr>
          <w:rFonts w:ascii="Verdana" w:hAnsi="Verdana"/>
          <w:color w:val="000000" w:themeColor="text1"/>
          <w:sz w:val="20"/>
          <w:szCs w:val="20"/>
        </w:rPr>
        <w:t xml:space="preserve"> </w:t>
      </w:r>
      <w:r w:rsidRPr="00A45056">
        <w:rPr>
          <w:rFonts w:ascii="Verdana" w:hAnsi="Verdana"/>
          <w:i/>
          <w:color w:val="000000" w:themeColor="text1"/>
          <w:sz w:val="20"/>
          <w:szCs w:val="20"/>
        </w:rPr>
        <w:t>una tantum</w:t>
      </w:r>
      <w:r w:rsidR="00AC5939" w:rsidRPr="00A45056">
        <w:rPr>
          <w:rFonts w:ascii="Verdana" w:hAnsi="Verdana"/>
          <w:color w:val="000000" w:themeColor="text1"/>
          <w:sz w:val="20"/>
          <w:szCs w:val="20"/>
        </w:rPr>
        <w:t xml:space="preserve">, iva inclusa, </w:t>
      </w:r>
      <w:r w:rsidRPr="00A45056">
        <w:rPr>
          <w:rFonts w:ascii="Verdana" w:hAnsi="Verdana"/>
          <w:color w:val="000000" w:themeColor="text1"/>
          <w:sz w:val="20"/>
          <w:szCs w:val="20"/>
        </w:rPr>
        <w:t>nel 2014;</w:t>
      </w:r>
    </w:p>
    <w:p w:rsidR="00264DCB" w:rsidRPr="00A45056" w:rsidRDefault="000E7F3D">
      <w:pPr>
        <w:pStyle w:val="Paragrafoelenco"/>
        <w:numPr>
          <w:ilvl w:val="0"/>
          <w:numId w:val="25"/>
        </w:numPr>
        <w:shd w:val="clear" w:color="auto" w:fill="FEFFFF"/>
        <w:tabs>
          <w:tab w:val="clear" w:pos="714"/>
          <w:tab w:val="num" w:pos="786"/>
        </w:tabs>
        <w:spacing w:line="360" w:lineRule="auto"/>
        <w:ind w:left="786" w:hanging="432"/>
        <w:jc w:val="both"/>
        <w:rPr>
          <w:rFonts w:ascii="Verdana" w:eastAsia="Verdana" w:hAnsi="Verdana" w:cs="Verdana"/>
          <w:color w:val="000000" w:themeColor="text1"/>
          <w:shd w:val="clear" w:color="auto" w:fill="FFFF00"/>
        </w:rPr>
      </w:pPr>
      <w:r w:rsidRPr="00A45056">
        <w:rPr>
          <w:rFonts w:ascii="Verdana" w:hAnsi="Verdana"/>
          <w:color w:val="000000" w:themeColor="text1"/>
          <w:sz w:val="20"/>
          <w:szCs w:val="20"/>
        </w:rPr>
        <w:t xml:space="preserve"> € 100.000</w:t>
      </w:r>
      <w:r w:rsidR="008D2016" w:rsidRPr="00A45056">
        <w:rPr>
          <w:rFonts w:ascii="Verdana" w:hAnsi="Verdana"/>
          <w:color w:val="000000" w:themeColor="text1"/>
          <w:sz w:val="20"/>
          <w:szCs w:val="20"/>
        </w:rPr>
        <w:t>,00</w:t>
      </w:r>
      <w:r w:rsidR="00AC5939" w:rsidRPr="00A45056">
        <w:rPr>
          <w:rFonts w:ascii="Verdana" w:hAnsi="Verdana"/>
          <w:color w:val="000000" w:themeColor="text1"/>
          <w:sz w:val="20"/>
          <w:szCs w:val="20"/>
        </w:rPr>
        <w:t>,</w:t>
      </w:r>
      <w:r w:rsidRPr="00A45056">
        <w:rPr>
          <w:rFonts w:ascii="Verdana" w:hAnsi="Verdana"/>
          <w:color w:val="000000" w:themeColor="text1"/>
          <w:sz w:val="20"/>
          <w:szCs w:val="20"/>
        </w:rPr>
        <w:t xml:space="preserve"> </w:t>
      </w:r>
      <w:r w:rsidRPr="00A45056">
        <w:rPr>
          <w:rFonts w:ascii="Verdana" w:hAnsi="Verdana"/>
          <w:i/>
          <w:color w:val="000000" w:themeColor="text1"/>
          <w:sz w:val="20"/>
          <w:szCs w:val="20"/>
        </w:rPr>
        <w:t>una tantum</w:t>
      </w:r>
      <w:r w:rsidR="00AC5939" w:rsidRPr="00A45056">
        <w:rPr>
          <w:rFonts w:ascii="Verdana" w:hAnsi="Verdana"/>
          <w:color w:val="000000" w:themeColor="text1"/>
          <w:sz w:val="20"/>
          <w:szCs w:val="20"/>
        </w:rPr>
        <w:t>,</w:t>
      </w:r>
      <w:r w:rsidRPr="00A45056">
        <w:rPr>
          <w:rFonts w:ascii="Verdana" w:hAnsi="Verdana"/>
          <w:color w:val="000000" w:themeColor="text1"/>
          <w:sz w:val="20"/>
          <w:szCs w:val="20"/>
        </w:rPr>
        <w:t xml:space="preserve"> iva inclusa nel 2015. </w:t>
      </w:r>
    </w:p>
    <w:p w:rsidR="00264DCB" w:rsidRPr="00A45056" w:rsidRDefault="000E7F3D">
      <w:pPr>
        <w:widowControl w:val="0"/>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 xml:space="preserve">Al raggiungimento di detta somma concorreva il dividendo di </w:t>
      </w:r>
      <w:r w:rsidR="003B4079">
        <w:rPr>
          <w:rFonts w:ascii="Verdana" w:hAnsi="Verdana"/>
          <w:color w:val="000000" w:themeColor="text1"/>
          <w:sz w:val="20"/>
          <w:szCs w:val="20"/>
        </w:rPr>
        <w:t>INCOFARMA</w:t>
      </w:r>
      <w:r w:rsidR="00D9589F" w:rsidRPr="00A45056">
        <w:rPr>
          <w:rFonts w:ascii="Verdana" w:hAnsi="Verdana"/>
          <w:color w:val="000000" w:themeColor="text1"/>
          <w:sz w:val="20"/>
          <w:szCs w:val="20"/>
        </w:rPr>
        <w:t xml:space="preserve"> </w:t>
      </w:r>
      <w:r w:rsidRPr="00A45056">
        <w:rPr>
          <w:rFonts w:ascii="Verdana" w:hAnsi="Verdana"/>
          <w:color w:val="000000" w:themeColor="text1"/>
          <w:sz w:val="20"/>
          <w:szCs w:val="20"/>
        </w:rPr>
        <w:t>S.P.A. che sarebbe stato conseguito nell’anno 2013 e distribuito pro quota al Consorzio C.I.S.S. nel 2014, previa approvazione del bilancio di esercizio della INCOFARMA S.p.A</w:t>
      </w:r>
      <w:r w:rsidR="00D928C7" w:rsidRPr="00A45056">
        <w:rPr>
          <w:rFonts w:ascii="Verdana" w:hAnsi="Verdana"/>
          <w:color w:val="000000" w:themeColor="text1"/>
          <w:sz w:val="20"/>
          <w:szCs w:val="20"/>
        </w:rPr>
        <w:t>.</w:t>
      </w:r>
    </w:p>
    <w:p w:rsidR="00264DCB" w:rsidRPr="00A45056" w:rsidRDefault="00264DCB">
      <w:pPr>
        <w:widowControl w:val="0"/>
        <w:shd w:val="clear" w:color="auto" w:fill="FEFFFF"/>
        <w:spacing w:line="360" w:lineRule="auto"/>
        <w:ind w:firstLine="354"/>
        <w:jc w:val="both"/>
        <w:rPr>
          <w:rFonts w:ascii="Verdana" w:eastAsia="Verdana" w:hAnsi="Verdana" w:cs="Verdana"/>
          <w:color w:val="000000" w:themeColor="text1"/>
          <w:sz w:val="20"/>
          <w:szCs w:val="20"/>
        </w:rPr>
      </w:pPr>
    </w:p>
    <w:p w:rsidR="00264DCB" w:rsidRPr="00A45056" w:rsidRDefault="000E7F3D">
      <w:pPr>
        <w:widowControl w:val="0"/>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 xml:space="preserve">Tabella G. Flussi finanziari tra CISS e INCOFARMA NEL </w:t>
      </w:r>
      <w:r w:rsidR="00D9589F" w:rsidRPr="00A45056">
        <w:rPr>
          <w:rFonts w:ascii="Verdana" w:hAnsi="Verdana"/>
          <w:color w:val="000000" w:themeColor="text1"/>
          <w:sz w:val="20"/>
          <w:szCs w:val="20"/>
        </w:rPr>
        <w:t>2013</w:t>
      </w:r>
      <w:r w:rsidRPr="00A45056">
        <w:rPr>
          <w:rFonts w:ascii="Verdana" w:hAnsi="Verdana"/>
          <w:color w:val="000000" w:themeColor="text1"/>
          <w:sz w:val="20"/>
          <w:szCs w:val="20"/>
        </w:rPr>
        <w:t xml:space="preserve">. Fonte: relazione del </w:t>
      </w:r>
      <w:r w:rsidR="00CB42CF">
        <w:rPr>
          <w:rFonts w:ascii="Verdana" w:hAnsi="Verdana"/>
          <w:color w:val="000000" w:themeColor="text1"/>
          <w:sz w:val="20"/>
          <w:szCs w:val="20"/>
        </w:rPr>
        <w:t>Direttore</w:t>
      </w:r>
      <w:r w:rsidR="00CB42CF" w:rsidRPr="00A45056">
        <w:rPr>
          <w:rFonts w:ascii="Verdana" w:hAnsi="Verdana"/>
          <w:color w:val="000000" w:themeColor="text1"/>
          <w:sz w:val="20"/>
          <w:szCs w:val="20"/>
        </w:rPr>
        <w:t xml:space="preserve"> </w:t>
      </w:r>
      <w:r w:rsidRPr="00A45056">
        <w:rPr>
          <w:rFonts w:ascii="Verdana" w:hAnsi="Verdana"/>
          <w:color w:val="000000" w:themeColor="text1"/>
          <w:sz w:val="20"/>
          <w:szCs w:val="20"/>
        </w:rPr>
        <w:t>generale</w:t>
      </w:r>
      <w:r w:rsidR="00D928C7" w:rsidRPr="00A45056">
        <w:rPr>
          <w:rFonts w:ascii="Verdana" w:hAnsi="Verdana"/>
          <w:color w:val="000000" w:themeColor="text1"/>
          <w:sz w:val="20"/>
          <w:szCs w:val="20"/>
        </w:rPr>
        <w:t>.</w:t>
      </w:r>
    </w:p>
    <w:tbl>
      <w:tblPr>
        <w:tblStyle w:val="TableNormal"/>
        <w:tblW w:w="95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0"/>
        <w:gridCol w:w="1322"/>
        <w:gridCol w:w="4066"/>
        <w:gridCol w:w="1863"/>
        <w:gridCol w:w="1373"/>
      </w:tblGrid>
      <w:tr w:rsidR="00264DCB" w:rsidRPr="00F63A96" w:rsidTr="00863829">
        <w:trPr>
          <w:trHeight w:val="612"/>
        </w:trPr>
        <w:tc>
          <w:tcPr>
            <w:tcW w:w="9534"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rsidR="00264DCB" w:rsidRPr="00F63A96" w:rsidRDefault="000E7F3D">
            <w:pPr>
              <w:jc w:val="center"/>
              <w:rPr>
                <w:color w:val="000000" w:themeColor="text1"/>
              </w:rPr>
            </w:pPr>
            <w:r w:rsidRPr="00F63A96">
              <w:rPr>
                <w:rFonts w:ascii="Arial"/>
                <w:b/>
                <w:bCs/>
                <w:color w:val="000000" w:themeColor="text1"/>
                <w:sz w:val="20"/>
                <w:szCs w:val="20"/>
              </w:rPr>
              <w:lastRenderedPageBreak/>
              <w:t>TABELLA FATTURATO A SOCIGESS S.p.A. E RELATIVI INCASSI DA PARTE DEL CISS IN BASE ALL</w:t>
            </w:r>
            <w:r w:rsidRPr="00F63A96">
              <w:rPr>
                <w:rFonts w:hAnsi="Arial"/>
                <w:b/>
                <w:bCs/>
                <w:color w:val="000000" w:themeColor="text1"/>
                <w:sz w:val="20"/>
                <w:szCs w:val="20"/>
              </w:rPr>
              <w:t>’</w:t>
            </w:r>
            <w:r w:rsidRPr="00F63A96">
              <w:rPr>
                <w:rFonts w:ascii="Arial"/>
                <w:b/>
                <w:bCs/>
                <w:color w:val="000000" w:themeColor="text1"/>
                <w:sz w:val="20"/>
                <w:szCs w:val="20"/>
              </w:rPr>
              <w:t xml:space="preserve">ART </w:t>
            </w:r>
            <w:proofErr w:type="gramStart"/>
            <w:r w:rsidRPr="00F63A96">
              <w:rPr>
                <w:rFonts w:ascii="Arial"/>
                <w:b/>
                <w:bCs/>
                <w:color w:val="000000" w:themeColor="text1"/>
                <w:sz w:val="20"/>
                <w:szCs w:val="20"/>
              </w:rPr>
              <w:t>6  CONTRATTO</w:t>
            </w:r>
            <w:proofErr w:type="gramEnd"/>
            <w:r w:rsidRPr="00F63A96">
              <w:rPr>
                <w:rFonts w:ascii="Arial"/>
                <w:b/>
                <w:bCs/>
                <w:color w:val="000000" w:themeColor="text1"/>
                <w:sz w:val="20"/>
                <w:szCs w:val="20"/>
              </w:rPr>
              <w:t xml:space="preserve"> DI SERVIZIO DEL 15/01/2014</w:t>
            </w:r>
          </w:p>
        </w:tc>
      </w:tr>
      <w:tr w:rsidR="00264DCB" w:rsidRPr="00F63A96" w:rsidTr="00863829">
        <w:trPr>
          <w:trHeight w:val="281"/>
        </w:trPr>
        <w:tc>
          <w:tcPr>
            <w:tcW w:w="9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64DCB" w:rsidRPr="00F63A96" w:rsidRDefault="000E7F3D">
            <w:pPr>
              <w:jc w:val="center"/>
              <w:rPr>
                <w:color w:val="000000" w:themeColor="text1"/>
              </w:rPr>
            </w:pPr>
            <w:r w:rsidRPr="00F63A96">
              <w:rPr>
                <w:rFonts w:ascii="Arial"/>
                <w:b/>
                <w:bCs/>
                <w:color w:val="000000" w:themeColor="text1"/>
                <w:sz w:val="18"/>
                <w:szCs w:val="18"/>
              </w:rPr>
              <w:t>N.FATT.</w:t>
            </w:r>
          </w:p>
        </w:tc>
        <w:tc>
          <w:tcPr>
            <w:tcW w:w="13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64DCB" w:rsidRPr="00F63A96" w:rsidRDefault="000E7F3D">
            <w:pPr>
              <w:jc w:val="center"/>
              <w:rPr>
                <w:color w:val="000000" w:themeColor="text1"/>
              </w:rPr>
            </w:pPr>
            <w:r w:rsidRPr="00F63A96">
              <w:rPr>
                <w:rFonts w:ascii="Arial"/>
                <w:b/>
                <w:bCs/>
                <w:color w:val="000000" w:themeColor="text1"/>
                <w:sz w:val="18"/>
                <w:szCs w:val="18"/>
              </w:rPr>
              <w:t>DATA OP.</w:t>
            </w:r>
          </w:p>
        </w:tc>
        <w:tc>
          <w:tcPr>
            <w:tcW w:w="40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64DCB" w:rsidRPr="00F63A96" w:rsidRDefault="000E7F3D">
            <w:pPr>
              <w:jc w:val="center"/>
              <w:rPr>
                <w:color w:val="000000" w:themeColor="text1"/>
              </w:rPr>
            </w:pPr>
            <w:r w:rsidRPr="00F63A96">
              <w:rPr>
                <w:rFonts w:ascii="Arial"/>
                <w:b/>
                <w:bCs/>
                <w:color w:val="000000" w:themeColor="text1"/>
                <w:sz w:val="18"/>
                <w:szCs w:val="18"/>
              </w:rPr>
              <w:t>DESCRIZIONE</w:t>
            </w:r>
          </w:p>
        </w:tc>
        <w:tc>
          <w:tcPr>
            <w:tcW w:w="18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64DCB" w:rsidRPr="00F63A96" w:rsidRDefault="000E7F3D">
            <w:pPr>
              <w:jc w:val="center"/>
              <w:rPr>
                <w:color w:val="000000" w:themeColor="text1"/>
              </w:rPr>
            </w:pPr>
            <w:r w:rsidRPr="00F63A96">
              <w:rPr>
                <w:rFonts w:ascii="Arial"/>
                <w:b/>
                <w:bCs/>
                <w:color w:val="000000" w:themeColor="text1"/>
                <w:sz w:val="18"/>
                <w:szCs w:val="18"/>
              </w:rPr>
              <w:t>FATTURATO</w:t>
            </w: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64DCB" w:rsidRPr="00F63A96" w:rsidRDefault="000E7F3D">
            <w:pPr>
              <w:rPr>
                <w:color w:val="000000" w:themeColor="text1"/>
              </w:rPr>
            </w:pPr>
            <w:r w:rsidRPr="00F63A96">
              <w:rPr>
                <w:rFonts w:ascii="Arial"/>
                <w:b/>
                <w:bCs/>
                <w:color w:val="000000" w:themeColor="text1"/>
                <w:sz w:val="18"/>
                <w:szCs w:val="18"/>
              </w:rPr>
              <w:t>INCASSATO</w:t>
            </w:r>
          </w:p>
        </w:tc>
      </w:tr>
      <w:tr w:rsidR="00291B95" w:rsidRPr="00F63A96" w:rsidTr="00291B95">
        <w:trPr>
          <w:trHeight w:val="2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05/06/2013</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863829" w:rsidRDefault="000E7F3D">
            <w:pPr>
              <w:rPr>
                <w:color w:val="000000" w:themeColor="text1"/>
                <w:sz w:val="16"/>
              </w:rPr>
            </w:pPr>
            <w:r w:rsidRPr="00863829">
              <w:rPr>
                <w:rFonts w:ascii="Arial"/>
                <w:color w:val="000000" w:themeColor="text1"/>
                <w:sz w:val="16"/>
                <w:szCs w:val="18"/>
              </w:rPr>
              <w:t>ACCONTO ANNO 2013</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121.000,00 </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w:t>
            </w:r>
          </w:p>
        </w:tc>
      </w:tr>
      <w:tr w:rsidR="00264DCB" w:rsidRPr="00F63A96" w:rsidTr="00863829">
        <w:trPr>
          <w:trHeight w:val="281"/>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17/07/2013</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863829" w:rsidRDefault="000E7F3D">
            <w:pPr>
              <w:rPr>
                <w:color w:val="000000" w:themeColor="text1"/>
                <w:sz w:val="16"/>
              </w:rPr>
            </w:pPr>
            <w:r w:rsidRPr="00863829">
              <w:rPr>
                <w:rFonts w:ascii="Arial"/>
                <w:color w:val="000000" w:themeColor="text1"/>
                <w:sz w:val="16"/>
                <w:szCs w:val="18"/>
              </w:rPr>
              <w:t>INTERESSI MORATORI D.lgs. 231/02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6.267,19 </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w:t>
            </w:r>
          </w:p>
        </w:tc>
      </w:tr>
      <w:tr w:rsidR="00291B95" w:rsidRPr="00F63A96" w:rsidTr="00291B95">
        <w:trPr>
          <w:trHeight w:val="2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hAnsi="Arial"/>
                <w:color w:val="000000" w:themeColor="text1"/>
                <w:sz w:val="18"/>
                <w:szCs w:val="18"/>
              </w:rPr>
              <w:t>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20/01/2014</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863829" w:rsidRDefault="000E7F3D">
            <w:pPr>
              <w:rPr>
                <w:color w:val="000000" w:themeColor="text1"/>
                <w:sz w:val="16"/>
              </w:rPr>
            </w:pPr>
            <w:r w:rsidRPr="00863829">
              <w:rPr>
                <w:rFonts w:ascii="Arial"/>
                <w:color w:val="000000" w:themeColor="text1"/>
                <w:sz w:val="16"/>
                <w:szCs w:val="18"/>
              </w:rPr>
              <w:t>ACCONTO ANNO 2013 (RIF. FATT.N</w:t>
            </w:r>
            <w:r w:rsidRPr="00863829">
              <w:rPr>
                <w:rFonts w:hAnsi="Arial"/>
                <w:color w:val="000000" w:themeColor="text1"/>
                <w:sz w:val="16"/>
                <w:szCs w:val="18"/>
              </w:rPr>
              <w:t>°</w:t>
            </w:r>
            <w:r w:rsidRPr="00863829">
              <w:rPr>
                <w:rFonts w:ascii="Arial"/>
                <w:color w:val="000000" w:themeColor="text1"/>
                <w:sz w:val="16"/>
                <w:szCs w:val="18"/>
              </w:rPr>
              <w:t>2 DEL 05/06/2013)</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264DCB">
            <w:pP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w:t>
            </w:r>
            <w:r w:rsidRPr="00F63A96">
              <w:rPr>
                <w:rFonts w:ascii="Arial"/>
                <w:color w:val="000000" w:themeColor="text1"/>
                <w:sz w:val="18"/>
                <w:szCs w:val="18"/>
              </w:rPr>
              <w:t xml:space="preserve">100.000,00 </w:t>
            </w:r>
          </w:p>
        </w:tc>
      </w:tr>
      <w:tr w:rsidR="00291B95" w:rsidRPr="00F63A96" w:rsidTr="00291B95">
        <w:trPr>
          <w:trHeight w:val="497"/>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07/04/2014</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863829" w:rsidRDefault="000E7F3D">
            <w:pPr>
              <w:jc w:val="both"/>
              <w:rPr>
                <w:color w:val="000000" w:themeColor="text1"/>
                <w:sz w:val="16"/>
              </w:rPr>
            </w:pPr>
            <w:r w:rsidRPr="00863829">
              <w:rPr>
                <w:rFonts w:ascii="Arial"/>
                <w:color w:val="000000" w:themeColor="text1"/>
                <w:sz w:val="16"/>
                <w:szCs w:val="18"/>
              </w:rPr>
              <w:t>SALDO 2013 applicato art. 6 del contratto di servizio del 15/01/2014 (farmacie aperte n</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15, applicato contratto di servizio di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200.000 SU COMPETENZE 2013 +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100.000 DA DISTRIBUIRE E FATTURARE SU COMPETENZE 2014 + </w:t>
            </w:r>
            <w:r w:rsidRPr="00863829">
              <w:rPr>
                <w:rFonts w:hAnsi="Arial"/>
                <w:color w:val="000000" w:themeColor="text1"/>
                <w:sz w:val="16"/>
                <w:szCs w:val="18"/>
              </w:rPr>
              <w:t>€</w:t>
            </w:r>
            <w:r w:rsidRPr="00863829">
              <w:rPr>
                <w:rFonts w:hAnsi="Arial"/>
                <w:color w:val="000000" w:themeColor="text1"/>
                <w:sz w:val="16"/>
                <w:szCs w:val="18"/>
              </w:rPr>
              <w:t xml:space="preserve"> </w:t>
            </w:r>
            <w:r w:rsidRPr="00863829">
              <w:rPr>
                <w:rFonts w:ascii="Arial"/>
                <w:color w:val="000000" w:themeColor="text1"/>
                <w:sz w:val="16"/>
                <w:szCs w:val="18"/>
              </w:rPr>
              <w:t xml:space="preserve">100.000 DA </w:t>
            </w:r>
            <w:proofErr w:type="gramStart"/>
            <w:r w:rsidRPr="00863829">
              <w:rPr>
                <w:rFonts w:ascii="Arial"/>
                <w:color w:val="000000" w:themeColor="text1"/>
                <w:sz w:val="16"/>
                <w:szCs w:val="18"/>
              </w:rPr>
              <w:t>DISTRIBUIRE  E</w:t>
            </w:r>
            <w:proofErr w:type="gramEnd"/>
            <w:r w:rsidRPr="00863829">
              <w:rPr>
                <w:rFonts w:ascii="Arial"/>
                <w:color w:val="000000" w:themeColor="text1"/>
                <w:sz w:val="16"/>
                <w:szCs w:val="18"/>
              </w:rPr>
              <w:t xml:space="preserve"> FATTURARE SU COMPETENZE 2015)</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79.000,00 </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w:t>
            </w:r>
          </w:p>
        </w:tc>
      </w:tr>
      <w:tr w:rsidR="00291B95" w:rsidRPr="00F63A96" w:rsidTr="00291B95">
        <w:trPr>
          <w:trHeight w:val="2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hAnsi="Arial"/>
                <w:color w:val="000000" w:themeColor="text1"/>
                <w:sz w:val="18"/>
                <w:szCs w:val="18"/>
              </w:rPr>
              <w:t>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23/05/2014</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863829" w:rsidRDefault="000E7F3D">
            <w:pPr>
              <w:rPr>
                <w:color w:val="000000" w:themeColor="text1"/>
                <w:sz w:val="16"/>
              </w:rPr>
            </w:pPr>
            <w:r w:rsidRPr="00863829">
              <w:rPr>
                <w:rFonts w:ascii="Arial"/>
                <w:color w:val="000000" w:themeColor="text1"/>
                <w:sz w:val="16"/>
                <w:szCs w:val="18"/>
              </w:rPr>
              <w:t>SALDO 2013(RIF.FATT.N</w:t>
            </w:r>
            <w:r w:rsidRPr="00863829">
              <w:rPr>
                <w:rFonts w:hAnsi="Arial"/>
                <w:color w:val="000000" w:themeColor="text1"/>
                <w:sz w:val="16"/>
                <w:szCs w:val="18"/>
              </w:rPr>
              <w:t>°</w:t>
            </w:r>
            <w:r w:rsidRPr="00863829">
              <w:rPr>
                <w:rFonts w:ascii="Arial"/>
                <w:color w:val="000000" w:themeColor="text1"/>
                <w:sz w:val="16"/>
                <w:szCs w:val="18"/>
              </w:rPr>
              <w:t>1 DEL 07/04/2014)</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16.929,75 </w:t>
            </w:r>
          </w:p>
        </w:tc>
      </w:tr>
      <w:tr w:rsidR="00291B95" w:rsidRPr="00F63A96" w:rsidTr="00291B95">
        <w:trPr>
          <w:trHeight w:val="114"/>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hAnsi="Arial"/>
                <w:color w:val="000000" w:themeColor="text1"/>
                <w:sz w:val="18"/>
                <w:szCs w:val="18"/>
              </w:rPr>
              <w:t>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0E7F3D">
            <w:pPr>
              <w:jc w:val="center"/>
              <w:rPr>
                <w:color w:val="000000" w:themeColor="text1"/>
              </w:rPr>
            </w:pPr>
            <w:r w:rsidRPr="00F63A96">
              <w:rPr>
                <w:rFonts w:ascii="Arial"/>
                <w:color w:val="000000" w:themeColor="text1"/>
                <w:sz w:val="18"/>
                <w:szCs w:val="18"/>
              </w:rPr>
              <w:t>17/09/2014</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863829" w:rsidRDefault="000E7F3D">
            <w:pPr>
              <w:jc w:val="both"/>
              <w:rPr>
                <w:color w:val="000000" w:themeColor="text1"/>
                <w:sz w:val="16"/>
              </w:rPr>
            </w:pPr>
            <w:r w:rsidRPr="00863829">
              <w:rPr>
                <w:rFonts w:ascii="Arial"/>
                <w:color w:val="000000" w:themeColor="text1"/>
                <w:sz w:val="16"/>
                <w:szCs w:val="18"/>
              </w:rPr>
              <w:t xml:space="preserve">NOTA DI CREDITO ANNO 2013 (per utile ricevuto nell'anno 2014 da </w:t>
            </w:r>
            <w:proofErr w:type="spellStart"/>
            <w:r w:rsidRPr="00863829">
              <w:rPr>
                <w:rFonts w:ascii="Arial"/>
                <w:color w:val="000000" w:themeColor="text1"/>
                <w:sz w:val="16"/>
                <w:szCs w:val="18"/>
              </w:rPr>
              <w:t>Incofarma</w:t>
            </w:r>
            <w:proofErr w:type="spellEnd"/>
            <w:r w:rsidRPr="00863829">
              <w:rPr>
                <w:rFonts w:ascii="Arial"/>
                <w:color w:val="000000" w:themeColor="text1"/>
                <w:sz w:val="16"/>
                <w:szCs w:val="18"/>
              </w:rPr>
              <w:t xml:space="preserve"> S.p.A. CFR art. 6 del contratto di servizio del 15/01/2014) </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color w:val="000000" w:themeColor="text1"/>
                <w:sz w:val="18"/>
                <w:szCs w:val="18"/>
              </w:rPr>
              <w:t> </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asci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83.070,25 </w:t>
            </w:r>
          </w:p>
        </w:tc>
      </w:tr>
      <w:tr w:rsidR="00291B95" w:rsidRPr="00F63A96" w:rsidTr="00291B95">
        <w:trPr>
          <w:trHeight w:val="2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264DCB">
            <w:pPr>
              <w:rPr>
                <w:color w:val="000000" w:themeColor="text1"/>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DCB" w:rsidRPr="00F63A96" w:rsidRDefault="00264DCB">
            <w:pPr>
              <w:rPr>
                <w:color w:val="000000" w:themeColor="text1"/>
              </w:rPr>
            </w:pP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863829" w:rsidRDefault="000E7F3D">
            <w:pPr>
              <w:jc w:val="both"/>
              <w:rPr>
                <w:color w:val="000000" w:themeColor="text1"/>
                <w:sz w:val="16"/>
              </w:rPr>
            </w:pPr>
            <w:r w:rsidRPr="00863829">
              <w:rPr>
                <w:rFonts w:ascii="Arial"/>
                <w:b/>
                <w:bCs/>
                <w:color w:val="000000" w:themeColor="text1"/>
                <w:sz w:val="16"/>
                <w:szCs w:val="18"/>
              </w:rPr>
              <w:t>TOTALE</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b/>
                <w:bCs/>
                <w:color w:val="000000" w:themeColor="text1"/>
                <w:sz w:val="18"/>
                <w:szCs w:val="18"/>
              </w:rPr>
              <w:t>€</w:t>
            </w:r>
            <w:r w:rsidRPr="00F63A96">
              <w:rPr>
                <w:rFonts w:hAnsi="Arial"/>
                <w:b/>
                <w:bCs/>
                <w:color w:val="000000" w:themeColor="text1"/>
                <w:sz w:val="18"/>
                <w:szCs w:val="18"/>
              </w:rPr>
              <w:t xml:space="preserve">         </w:t>
            </w:r>
            <w:r w:rsidRPr="00F63A96">
              <w:rPr>
                <w:rFonts w:ascii="Arial"/>
                <w:b/>
                <w:bCs/>
                <w:color w:val="000000" w:themeColor="text1"/>
                <w:sz w:val="18"/>
                <w:szCs w:val="18"/>
              </w:rPr>
              <w:t>206.267,19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4DCB" w:rsidRPr="00F63A96" w:rsidRDefault="000E7F3D">
            <w:pPr>
              <w:rPr>
                <w:color w:val="000000" w:themeColor="text1"/>
              </w:rPr>
            </w:pPr>
            <w:r w:rsidRPr="00F63A96">
              <w:rPr>
                <w:rFonts w:hAnsi="Arial"/>
                <w:b/>
                <w:bCs/>
                <w:color w:val="000000" w:themeColor="text1"/>
                <w:sz w:val="18"/>
                <w:szCs w:val="18"/>
              </w:rPr>
              <w:t>€</w:t>
            </w:r>
            <w:r w:rsidRPr="00F63A96">
              <w:rPr>
                <w:rFonts w:hAnsi="Arial"/>
                <w:b/>
                <w:bCs/>
                <w:color w:val="000000" w:themeColor="text1"/>
                <w:sz w:val="18"/>
                <w:szCs w:val="18"/>
              </w:rPr>
              <w:t xml:space="preserve"> </w:t>
            </w:r>
            <w:r w:rsidRPr="00F63A96">
              <w:rPr>
                <w:rFonts w:ascii="Arial"/>
                <w:b/>
                <w:bCs/>
                <w:color w:val="000000" w:themeColor="text1"/>
                <w:sz w:val="18"/>
                <w:szCs w:val="18"/>
              </w:rPr>
              <w:t>200.000,00</w:t>
            </w:r>
          </w:p>
        </w:tc>
      </w:tr>
    </w:tbl>
    <w:p w:rsidR="00264DCB" w:rsidRPr="00F63A96" w:rsidRDefault="00264DCB">
      <w:pPr>
        <w:widowControl w:val="0"/>
        <w:shd w:val="clear" w:color="auto" w:fill="FEFFFF"/>
        <w:ind w:firstLine="354"/>
        <w:jc w:val="both"/>
        <w:rPr>
          <w:rFonts w:ascii="Verdana" w:eastAsia="Verdana" w:hAnsi="Verdana" w:cs="Verdana"/>
          <w:color w:val="000000" w:themeColor="text1"/>
          <w:sz w:val="20"/>
          <w:szCs w:val="20"/>
        </w:rPr>
      </w:pPr>
    </w:p>
    <w:p w:rsidR="00810EB0" w:rsidRPr="00A45056" w:rsidRDefault="00C30BE0">
      <w:pPr>
        <w:widowControl w:val="0"/>
        <w:shd w:val="clear" w:color="auto" w:fill="FEFFFF"/>
        <w:spacing w:line="360" w:lineRule="auto"/>
        <w:ind w:firstLine="354"/>
        <w:jc w:val="both"/>
        <w:rPr>
          <w:rStyle w:val="Numeropagina"/>
          <w:rFonts w:ascii="Verdana" w:eastAsia="Verdana" w:hAnsi="Verdana" w:cs="Verdana"/>
          <w:color w:val="000000" w:themeColor="text1"/>
          <w:sz w:val="20"/>
          <w:szCs w:val="20"/>
        </w:rPr>
      </w:pPr>
      <w:r w:rsidRPr="00A45056">
        <w:rPr>
          <w:rFonts w:ascii="Verdana" w:hAnsi="Verdana"/>
          <w:b/>
          <w:bCs/>
          <w:color w:val="000000" w:themeColor="text1"/>
          <w:sz w:val="20"/>
          <w:szCs w:val="20"/>
        </w:rPr>
        <w:t>7</w:t>
      </w:r>
      <w:r w:rsidR="000E7F3D" w:rsidRPr="00A45056">
        <w:rPr>
          <w:rFonts w:ascii="Verdana" w:hAnsi="Verdana"/>
          <w:b/>
          <w:bCs/>
          <w:color w:val="000000" w:themeColor="text1"/>
          <w:sz w:val="20"/>
          <w:szCs w:val="20"/>
        </w:rPr>
        <w:t>.1.</w:t>
      </w:r>
      <w:r w:rsidR="00E01344">
        <w:rPr>
          <w:rFonts w:ascii="Verdana" w:hAnsi="Verdana"/>
          <w:b/>
          <w:bCs/>
          <w:color w:val="000000" w:themeColor="text1"/>
          <w:sz w:val="20"/>
          <w:szCs w:val="20"/>
        </w:rPr>
        <w:t>3</w:t>
      </w:r>
      <w:r w:rsidR="000E7F3D" w:rsidRPr="00A45056">
        <w:rPr>
          <w:rFonts w:ascii="Verdana" w:hAnsi="Verdana"/>
          <w:b/>
          <w:bCs/>
          <w:color w:val="000000" w:themeColor="text1"/>
          <w:sz w:val="20"/>
          <w:szCs w:val="20"/>
        </w:rPr>
        <w:t>.</w:t>
      </w:r>
      <w:r w:rsidR="000E7F3D" w:rsidRPr="00A45056">
        <w:rPr>
          <w:rStyle w:val="Numeropagina"/>
          <w:rFonts w:ascii="Verdana" w:hAnsi="Verdana"/>
          <w:color w:val="000000" w:themeColor="text1"/>
          <w:sz w:val="20"/>
          <w:szCs w:val="20"/>
        </w:rPr>
        <w:t xml:space="preserve"> </w:t>
      </w:r>
      <w:r w:rsidR="000E7F3D" w:rsidRPr="00A45056">
        <w:rPr>
          <w:rFonts w:ascii="Verdana" w:hAnsi="Verdana"/>
          <w:b/>
          <w:bCs/>
          <w:color w:val="000000" w:themeColor="text1"/>
          <w:sz w:val="20"/>
          <w:szCs w:val="20"/>
        </w:rPr>
        <w:t>Anno 2014</w:t>
      </w:r>
      <w:r w:rsidR="0053453B" w:rsidRPr="00A45056">
        <w:rPr>
          <w:rStyle w:val="Numeropagina"/>
          <w:rFonts w:ascii="Verdana" w:hAnsi="Verdana"/>
          <w:color w:val="000000" w:themeColor="text1"/>
          <w:sz w:val="20"/>
          <w:szCs w:val="20"/>
        </w:rPr>
        <w:t>. Nel</w:t>
      </w:r>
      <w:r w:rsidR="000E7F3D" w:rsidRPr="00A45056">
        <w:rPr>
          <w:rStyle w:val="Numeropagina"/>
          <w:rFonts w:ascii="Verdana" w:hAnsi="Verdana"/>
          <w:color w:val="000000" w:themeColor="text1"/>
          <w:sz w:val="20"/>
          <w:szCs w:val="20"/>
        </w:rPr>
        <w:t xml:space="preserve"> </w:t>
      </w:r>
      <w:r w:rsidR="00881AC2" w:rsidRPr="00A45056">
        <w:rPr>
          <w:rStyle w:val="Numeropagina"/>
          <w:rFonts w:ascii="Verdana" w:hAnsi="Verdana"/>
          <w:color w:val="000000" w:themeColor="text1"/>
          <w:sz w:val="20"/>
          <w:szCs w:val="20"/>
        </w:rPr>
        <w:t>frattempo, nel</w:t>
      </w:r>
      <w:r w:rsidR="0087021F" w:rsidRPr="00A45056">
        <w:rPr>
          <w:rStyle w:val="Numeropagina"/>
          <w:rFonts w:ascii="Verdana" w:hAnsi="Verdana"/>
          <w:color w:val="000000" w:themeColor="text1"/>
          <w:sz w:val="20"/>
          <w:szCs w:val="20"/>
        </w:rPr>
        <w:t xml:space="preserve"> 2014, </w:t>
      </w:r>
      <w:r w:rsidR="000E7F3D" w:rsidRPr="00A45056">
        <w:rPr>
          <w:rStyle w:val="Numeropagina"/>
          <w:rFonts w:ascii="Verdana" w:hAnsi="Verdana"/>
          <w:color w:val="000000" w:themeColor="text1"/>
          <w:sz w:val="20"/>
          <w:szCs w:val="20"/>
        </w:rPr>
        <w:t>le farmacie, come si legge nella relazione</w:t>
      </w:r>
      <w:r w:rsidR="00D928C7" w:rsidRPr="00A45056">
        <w:rPr>
          <w:rStyle w:val="Numeropagina"/>
          <w:rFonts w:ascii="Verdana" w:hAnsi="Verdana"/>
          <w:color w:val="000000" w:themeColor="text1"/>
          <w:sz w:val="20"/>
          <w:szCs w:val="20"/>
        </w:rPr>
        <w:t>,</w:t>
      </w:r>
      <w:r w:rsidR="000E7F3D" w:rsidRPr="00A45056">
        <w:rPr>
          <w:rStyle w:val="Numeropagina"/>
          <w:rFonts w:ascii="Verdana" w:hAnsi="Verdana"/>
          <w:color w:val="000000" w:themeColor="text1"/>
          <w:sz w:val="20"/>
          <w:szCs w:val="20"/>
        </w:rPr>
        <w:t xml:space="preserve"> hanno raggiunto quota numero 15.</w:t>
      </w:r>
      <w:r w:rsidR="0087021F" w:rsidRPr="00A45056">
        <w:rPr>
          <w:rStyle w:val="Numeropagina"/>
          <w:rFonts w:ascii="Verdana" w:hAnsi="Verdana"/>
          <w:color w:val="000000" w:themeColor="text1"/>
          <w:sz w:val="20"/>
          <w:szCs w:val="20"/>
        </w:rPr>
        <w:t xml:space="preserve"> I rapporti economici tra CISS, </w:t>
      </w:r>
      <w:r w:rsidR="003B4079">
        <w:rPr>
          <w:rStyle w:val="Numeropagina"/>
          <w:rFonts w:ascii="Verdana" w:hAnsi="Verdana"/>
          <w:color w:val="000000" w:themeColor="text1"/>
          <w:sz w:val="20"/>
          <w:szCs w:val="20"/>
        </w:rPr>
        <w:t>INCOFARMA</w:t>
      </w:r>
      <w:r w:rsidR="0087021F" w:rsidRPr="00A45056">
        <w:rPr>
          <w:rStyle w:val="Numeropagina"/>
          <w:rFonts w:ascii="Verdana" w:hAnsi="Verdana"/>
          <w:color w:val="000000" w:themeColor="text1"/>
          <w:sz w:val="20"/>
          <w:szCs w:val="20"/>
        </w:rPr>
        <w:t xml:space="preserve"> e SOCIGESS sono regolati dal contratto di servizio da ultimo citato che definisce la struttura dei corrispettivi come segue:</w:t>
      </w:r>
    </w:p>
    <w:p w:rsidR="00264DCB" w:rsidRPr="00A45056" w:rsidRDefault="000E7F3D" w:rsidP="00E2584A">
      <w:pPr>
        <w:numPr>
          <w:ilvl w:val="0"/>
          <w:numId w:val="27"/>
        </w:numPr>
        <w:shd w:val="clear" w:color="auto" w:fill="FEFFFF"/>
        <w:tabs>
          <w:tab w:val="clear" w:pos="300"/>
          <w:tab w:val="num" w:pos="714"/>
        </w:tabs>
        <w:spacing w:line="360" w:lineRule="auto"/>
        <w:ind w:left="426" w:hanging="426"/>
        <w:jc w:val="both"/>
        <w:rPr>
          <w:rFonts w:ascii="Verdana" w:eastAsia="Verdana" w:hAnsi="Verdana" w:cs="Verdana"/>
          <w:color w:val="000000" w:themeColor="text1"/>
          <w:sz w:val="20"/>
          <w:szCs w:val="20"/>
          <w:shd w:val="clear" w:color="auto" w:fill="FFFF00"/>
        </w:rPr>
      </w:pPr>
      <w:proofErr w:type="gramStart"/>
      <w:r w:rsidRPr="00A45056">
        <w:rPr>
          <w:rFonts w:ascii="Verdana" w:hAnsi="Verdana"/>
          <w:color w:val="000000" w:themeColor="text1"/>
          <w:sz w:val="20"/>
          <w:szCs w:val="20"/>
        </w:rPr>
        <w:t>il</w:t>
      </w:r>
      <w:proofErr w:type="gramEnd"/>
      <w:r w:rsidRPr="00A45056">
        <w:rPr>
          <w:rFonts w:ascii="Verdana" w:hAnsi="Verdana"/>
          <w:color w:val="000000" w:themeColor="text1"/>
          <w:sz w:val="20"/>
          <w:szCs w:val="20"/>
        </w:rPr>
        <w:t xml:space="preserve"> contributo non assorbe più i canoni, ma funge esclusivamente da clausola “</w:t>
      </w:r>
      <w:proofErr w:type="spellStart"/>
      <w:r w:rsidRPr="00A45056">
        <w:rPr>
          <w:rFonts w:ascii="Verdana" w:hAnsi="Verdana"/>
          <w:color w:val="000000" w:themeColor="text1"/>
          <w:sz w:val="20"/>
          <w:szCs w:val="20"/>
        </w:rPr>
        <w:t>floor</w:t>
      </w:r>
      <w:proofErr w:type="spellEnd"/>
      <w:r w:rsidRPr="00A45056">
        <w:rPr>
          <w:rFonts w:ascii="Verdana" w:hAnsi="Verdana"/>
          <w:color w:val="000000" w:themeColor="text1"/>
          <w:sz w:val="20"/>
          <w:szCs w:val="20"/>
        </w:rPr>
        <w:t>” sul diritto agli utili, assicurando una redditività minima della partecipazione. Segnatamente, «</w:t>
      </w:r>
      <w:r w:rsidRPr="00A45056">
        <w:rPr>
          <w:rFonts w:ascii="Verdana" w:hAnsi="Verdana"/>
          <w:i/>
          <w:iCs/>
          <w:color w:val="000000" w:themeColor="text1"/>
          <w:sz w:val="20"/>
          <w:szCs w:val="20"/>
        </w:rPr>
        <w:t xml:space="preserve">Al fine di garantire la salvaguardia economica e finanziaria del CISS, qualora i ricavi del Consorzio provenienti dal socio privato, e sommati agli eventuali dividendi conseguiti e distribuiti da parte della </w:t>
      </w:r>
      <w:r w:rsidR="003B4079">
        <w:rPr>
          <w:rFonts w:ascii="Verdana" w:hAnsi="Verdana"/>
          <w:i/>
          <w:iCs/>
          <w:color w:val="000000" w:themeColor="text1"/>
          <w:sz w:val="20"/>
          <w:szCs w:val="20"/>
        </w:rPr>
        <w:t>INCO</w:t>
      </w:r>
      <w:r w:rsidR="0067700D">
        <w:rPr>
          <w:rFonts w:ascii="Verdana" w:hAnsi="Verdana"/>
          <w:i/>
          <w:iCs/>
          <w:color w:val="000000" w:themeColor="text1"/>
          <w:sz w:val="20"/>
          <w:szCs w:val="20"/>
        </w:rPr>
        <w:t>.</w:t>
      </w:r>
      <w:r w:rsidR="003B4079">
        <w:rPr>
          <w:rFonts w:ascii="Verdana" w:hAnsi="Verdana"/>
          <w:i/>
          <w:iCs/>
          <w:color w:val="000000" w:themeColor="text1"/>
          <w:sz w:val="20"/>
          <w:szCs w:val="20"/>
        </w:rPr>
        <w:t>FARMA</w:t>
      </w:r>
      <w:r w:rsidRPr="00A45056">
        <w:rPr>
          <w:rFonts w:ascii="Verdana" w:hAnsi="Verdana"/>
          <w:i/>
          <w:iCs/>
          <w:color w:val="000000" w:themeColor="text1"/>
          <w:sz w:val="20"/>
          <w:szCs w:val="20"/>
        </w:rPr>
        <w:t xml:space="preserve"> </w:t>
      </w:r>
      <w:r w:rsidR="003B4079" w:rsidRPr="00A45056">
        <w:rPr>
          <w:rFonts w:ascii="Verdana" w:hAnsi="Verdana"/>
          <w:i/>
          <w:iCs/>
          <w:color w:val="000000" w:themeColor="text1"/>
          <w:sz w:val="20"/>
          <w:szCs w:val="20"/>
        </w:rPr>
        <w:t xml:space="preserve">S.p.A. </w:t>
      </w:r>
      <w:r w:rsidRPr="00A45056">
        <w:rPr>
          <w:rFonts w:ascii="Verdana" w:hAnsi="Verdana"/>
          <w:i/>
          <w:iCs/>
          <w:color w:val="000000" w:themeColor="text1"/>
          <w:sz w:val="20"/>
          <w:szCs w:val="20"/>
        </w:rPr>
        <w:t xml:space="preserve"> </w:t>
      </w:r>
      <w:proofErr w:type="gramStart"/>
      <w:r w:rsidRPr="00A45056">
        <w:rPr>
          <w:rFonts w:ascii="Verdana" w:hAnsi="Verdana"/>
          <w:i/>
          <w:iCs/>
          <w:color w:val="000000" w:themeColor="text1"/>
          <w:sz w:val="20"/>
          <w:szCs w:val="20"/>
        </w:rPr>
        <w:t>non</w:t>
      </w:r>
      <w:proofErr w:type="gramEnd"/>
      <w:r w:rsidRPr="00A45056">
        <w:rPr>
          <w:rFonts w:ascii="Verdana" w:hAnsi="Verdana"/>
          <w:i/>
          <w:iCs/>
          <w:color w:val="000000" w:themeColor="text1"/>
          <w:sz w:val="20"/>
          <w:szCs w:val="20"/>
        </w:rPr>
        <w:t xml:space="preserve"> dovessero comportare il raggiungimento della somma stimata di euro 100.000,00, per il mantenimento dei costi della struttura consortile, il socio privato </w:t>
      </w:r>
      <w:proofErr w:type="spellStart"/>
      <w:r w:rsidRPr="00A45056">
        <w:rPr>
          <w:rFonts w:ascii="Verdana" w:hAnsi="Verdana"/>
          <w:i/>
          <w:iCs/>
          <w:color w:val="000000" w:themeColor="text1"/>
          <w:sz w:val="20"/>
          <w:szCs w:val="20"/>
        </w:rPr>
        <w:t>Soc.I.Ge.SS</w:t>
      </w:r>
      <w:proofErr w:type="spellEnd"/>
      <w:r w:rsidRPr="00A45056">
        <w:rPr>
          <w:rFonts w:ascii="Verdana" w:hAnsi="Verdana"/>
          <w:i/>
          <w:iCs/>
          <w:color w:val="000000" w:themeColor="text1"/>
          <w:sz w:val="20"/>
          <w:szCs w:val="20"/>
        </w:rPr>
        <w:t>. S.p.A. si impegna a versare la rimanente parte necessaria al raggiungimento dell'importo sopra stimato, il tutto al fine di consentire al Consorzio CISS il pareggio di bilancio, così come previsto per legge</w:t>
      </w:r>
      <w:r w:rsidRPr="00A45056">
        <w:rPr>
          <w:rFonts w:ascii="Verdana" w:hAnsi="Verdana"/>
          <w:color w:val="000000" w:themeColor="text1"/>
          <w:sz w:val="20"/>
          <w:szCs w:val="20"/>
        </w:rPr>
        <w:t>». Si legge nella relazione del DG «</w:t>
      </w:r>
      <w:r w:rsidRPr="00A45056">
        <w:rPr>
          <w:rFonts w:ascii="Verdana" w:hAnsi="Verdana"/>
          <w:i/>
          <w:color w:val="000000" w:themeColor="text1"/>
          <w:sz w:val="20"/>
          <w:szCs w:val="20"/>
        </w:rPr>
        <w:t xml:space="preserve">il dividendo che distribuirà </w:t>
      </w:r>
      <w:r w:rsidR="003B4079">
        <w:rPr>
          <w:rFonts w:ascii="Verdana" w:hAnsi="Verdana"/>
          <w:i/>
          <w:color w:val="000000" w:themeColor="text1"/>
          <w:sz w:val="20"/>
          <w:szCs w:val="20"/>
        </w:rPr>
        <w:t>INCO</w:t>
      </w:r>
      <w:r w:rsidR="0067700D">
        <w:rPr>
          <w:rFonts w:ascii="Verdana" w:hAnsi="Verdana"/>
          <w:i/>
          <w:color w:val="000000" w:themeColor="text1"/>
          <w:sz w:val="20"/>
          <w:szCs w:val="20"/>
        </w:rPr>
        <w:t>.</w:t>
      </w:r>
      <w:r w:rsidR="003B4079">
        <w:rPr>
          <w:rFonts w:ascii="Verdana" w:hAnsi="Verdana"/>
          <w:i/>
          <w:color w:val="000000" w:themeColor="text1"/>
          <w:sz w:val="20"/>
          <w:szCs w:val="20"/>
        </w:rPr>
        <w:t>FARMA</w:t>
      </w:r>
      <w:r w:rsidRPr="00A45056">
        <w:rPr>
          <w:rFonts w:ascii="Verdana" w:hAnsi="Verdana"/>
          <w:i/>
          <w:color w:val="000000" w:themeColor="text1"/>
          <w:sz w:val="20"/>
          <w:szCs w:val="20"/>
        </w:rPr>
        <w:t xml:space="preserve"> </w:t>
      </w:r>
      <w:proofErr w:type="spellStart"/>
      <w:r w:rsidRPr="00A45056">
        <w:rPr>
          <w:rFonts w:ascii="Verdana" w:hAnsi="Verdana"/>
          <w:i/>
          <w:color w:val="000000" w:themeColor="text1"/>
          <w:sz w:val="20"/>
          <w:szCs w:val="20"/>
        </w:rPr>
        <w:t>S.p.A</w:t>
      </w:r>
      <w:proofErr w:type="spellEnd"/>
      <w:r w:rsidRPr="00A45056">
        <w:rPr>
          <w:rFonts w:ascii="Verdana" w:hAnsi="Verdana"/>
          <w:i/>
          <w:color w:val="000000" w:themeColor="text1"/>
          <w:sz w:val="20"/>
          <w:szCs w:val="20"/>
        </w:rPr>
        <w:t xml:space="preserve"> a </w:t>
      </w:r>
      <w:r w:rsidR="003B4079">
        <w:rPr>
          <w:rFonts w:ascii="Verdana" w:hAnsi="Verdana"/>
          <w:i/>
          <w:color w:val="000000" w:themeColor="text1"/>
          <w:sz w:val="20"/>
          <w:szCs w:val="20"/>
        </w:rPr>
        <w:t>C</w:t>
      </w:r>
      <w:r w:rsidR="0067700D">
        <w:rPr>
          <w:rFonts w:ascii="Verdana" w:hAnsi="Verdana"/>
          <w:i/>
          <w:color w:val="000000" w:themeColor="text1"/>
          <w:sz w:val="20"/>
          <w:szCs w:val="20"/>
        </w:rPr>
        <w:t>.</w:t>
      </w:r>
      <w:r w:rsidR="003B4079">
        <w:rPr>
          <w:rFonts w:ascii="Verdana" w:hAnsi="Verdana"/>
          <w:i/>
          <w:color w:val="000000" w:themeColor="text1"/>
          <w:sz w:val="20"/>
          <w:szCs w:val="20"/>
        </w:rPr>
        <w:t>I</w:t>
      </w:r>
      <w:r w:rsidR="0067700D">
        <w:rPr>
          <w:rFonts w:ascii="Verdana" w:hAnsi="Verdana"/>
          <w:i/>
          <w:color w:val="000000" w:themeColor="text1"/>
          <w:sz w:val="20"/>
          <w:szCs w:val="20"/>
        </w:rPr>
        <w:t>.</w:t>
      </w:r>
      <w:r w:rsidR="003B4079">
        <w:rPr>
          <w:rFonts w:ascii="Verdana" w:hAnsi="Verdana"/>
          <w:i/>
          <w:color w:val="000000" w:themeColor="text1"/>
          <w:sz w:val="20"/>
          <w:szCs w:val="20"/>
        </w:rPr>
        <w:t>S</w:t>
      </w:r>
      <w:r w:rsidR="0067700D">
        <w:rPr>
          <w:rFonts w:ascii="Verdana" w:hAnsi="Verdana"/>
          <w:i/>
          <w:color w:val="000000" w:themeColor="text1"/>
          <w:sz w:val="20"/>
          <w:szCs w:val="20"/>
        </w:rPr>
        <w:t>.</w:t>
      </w:r>
      <w:r w:rsidR="003B4079">
        <w:rPr>
          <w:rFonts w:ascii="Verdana" w:hAnsi="Verdana"/>
          <w:i/>
          <w:color w:val="000000" w:themeColor="text1"/>
          <w:sz w:val="20"/>
          <w:szCs w:val="20"/>
        </w:rPr>
        <w:t>S</w:t>
      </w:r>
      <w:r w:rsidR="0067700D">
        <w:rPr>
          <w:rFonts w:ascii="Verdana" w:hAnsi="Verdana"/>
          <w:i/>
          <w:color w:val="000000" w:themeColor="text1"/>
          <w:sz w:val="20"/>
          <w:szCs w:val="20"/>
        </w:rPr>
        <w:t>.</w:t>
      </w:r>
      <w:r w:rsidRPr="00A45056">
        <w:rPr>
          <w:rFonts w:ascii="Verdana" w:hAnsi="Verdana"/>
          <w:i/>
          <w:color w:val="000000" w:themeColor="text1"/>
          <w:sz w:val="20"/>
          <w:szCs w:val="20"/>
        </w:rPr>
        <w:t xml:space="preserve"> nell’anno </w:t>
      </w:r>
      <w:r w:rsidRPr="00A45056">
        <w:rPr>
          <w:rFonts w:ascii="Verdana" w:hAnsi="Verdana"/>
          <w:color w:val="000000" w:themeColor="text1"/>
          <w:sz w:val="20"/>
          <w:szCs w:val="20"/>
        </w:rPr>
        <w:t>2</w:t>
      </w:r>
      <w:r w:rsidRPr="00A45056">
        <w:rPr>
          <w:rFonts w:ascii="Verdana" w:hAnsi="Verdana"/>
          <w:i/>
          <w:iCs/>
          <w:color w:val="000000" w:themeColor="text1"/>
          <w:sz w:val="20"/>
          <w:szCs w:val="20"/>
        </w:rPr>
        <w:t xml:space="preserve">015 relativo al bilancio di competenza 2014 </w:t>
      </w:r>
      <w:r w:rsidR="000F2F92" w:rsidRPr="00A45056">
        <w:rPr>
          <w:rFonts w:ascii="Verdana" w:hAnsi="Verdana"/>
          <w:i/>
          <w:iCs/>
          <w:color w:val="000000" w:themeColor="text1"/>
          <w:sz w:val="20"/>
          <w:szCs w:val="20"/>
        </w:rPr>
        <w:t>(…)</w:t>
      </w:r>
      <w:r w:rsidR="000D242F" w:rsidRPr="00A45056">
        <w:rPr>
          <w:rFonts w:ascii="Verdana" w:hAnsi="Verdana"/>
          <w:i/>
          <w:iCs/>
          <w:color w:val="000000" w:themeColor="text1"/>
          <w:sz w:val="20"/>
          <w:szCs w:val="20"/>
        </w:rPr>
        <w:t xml:space="preserve"> </w:t>
      </w:r>
      <w:r w:rsidRPr="00A45056">
        <w:rPr>
          <w:rFonts w:ascii="Verdana" w:hAnsi="Verdana"/>
          <w:i/>
          <w:iCs/>
          <w:color w:val="000000" w:themeColor="text1"/>
          <w:sz w:val="20"/>
          <w:szCs w:val="20"/>
        </w:rPr>
        <w:t xml:space="preserve">non dovrà poi essere stornato con nota di credito a </w:t>
      </w:r>
      <w:proofErr w:type="spellStart"/>
      <w:r w:rsidRPr="00A45056">
        <w:rPr>
          <w:rFonts w:ascii="Verdana" w:hAnsi="Verdana"/>
          <w:i/>
          <w:iCs/>
          <w:color w:val="000000" w:themeColor="text1"/>
          <w:sz w:val="20"/>
          <w:szCs w:val="20"/>
        </w:rPr>
        <w:t>Socigess</w:t>
      </w:r>
      <w:proofErr w:type="spellEnd"/>
      <w:r w:rsidRPr="00A45056">
        <w:rPr>
          <w:rFonts w:ascii="Verdana" w:hAnsi="Verdana"/>
          <w:i/>
          <w:iCs/>
          <w:color w:val="000000" w:themeColor="text1"/>
          <w:sz w:val="20"/>
          <w:szCs w:val="20"/>
        </w:rPr>
        <w:t xml:space="preserve"> S.p.A. dai canoni di competenza relativi al 2014 perché essendo il nuovo contratto di servizio, in tal senso migliorativo, rispetto a quello precedente sottoscritto nel 2007, </w:t>
      </w:r>
      <w:r w:rsidRPr="00A45056">
        <w:rPr>
          <w:rFonts w:ascii="Verdana" w:hAnsi="Verdana"/>
          <w:i/>
          <w:iCs/>
          <w:color w:val="000000" w:themeColor="text1"/>
          <w:sz w:val="20"/>
          <w:szCs w:val="20"/>
          <w:u w:val="single"/>
        </w:rPr>
        <w:t>gli importi d</w:t>
      </w:r>
      <w:r w:rsidR="000F2F92" w:rsidRPr="00A45056">
        <w:rPr>
          <w:rFonts w:ascii="Verdana" w:hAnsi="Verdana"/>
          <w:i/>
          <w:iCs/>
          <w:color w:val="000000" w:themeColor="text1"/>
          <w:sz w:val="20"/>
          <w:szCs w:val="20"/>
          <w:u w:val="single"/>
        </w:rPr>
        <w:t>e</w:t>
      </w:r>
      <w:r w:rsidRPr="00A45056">
        <w:rPr>
          <w:rFonts w:ascii="Verdana" w:hAnsi="Verdana"/>
          <w:i/>
          <w:iCs/>
          <w:color w:val="000000" w:themeColor="text1"/>
          <w:sz w:val="20"/>
          <w:szCs w:val="20"/>
          <w:u w:val="single"/>
        </w:rPr>
        <w:t xml:space="preserve">i canoni dovuti da </w:t>
      </w:r>
      <w:r w:rsidR="003B4079" w:rsidRPr="00A45056">
        <w:rPr>
          <w:rFonts w:ascii="Verdana" w:hAnsi="Verdana"/>
          <w:i/>
          <w:iCs/>
          <w:color w:val="000000" w:themeColor="text1"/>
          <w:sz w:val="20"/>
          <w:szCs w:val="20"/>
          <w:u w:val="single"/>
        </w:rPr>
        <w:t>SOCIGESS</w:t>
      </w:r>
      <w:r w:rsidRPr="00A45056">
        <w:rPr>
          <w:rFonts w:ascii="Verdana" w:hAnsi="Verdana"/>
          <w:i/>
          <w:iCs/>
          <w:color w:val="000000" w:themeColor="text1"/>
          <w:sz w:val="20"/>
          <w:szCs w:val="20"/>
          <w:u w:val="single"/>
        </w:rPr>
        <w:t xml:space="preserve"> S.p.A. a </w:t>
      </w:r>
      <w:r w:rsidR="003B4079">
        <w:rPr>
          <w:rFonts w:ascii="Verdana" w:hAnsi="Verdana"/>
          <w:i/>
          <w:iCs/>
          <w:color w:val="000000" w:themeColor="text1"/>
          <w:sz w:val="20"/>
          <w:szCs w:val="20"/>
          <w:u w:val="single"/>
        </w:rPr>
        <w:t>CISS</w:t>
      </w:r>
      <w:r w:rsidRPr="00A45056">
        <w:rPr>
          <w:rFonts w:ascii="Verdana" w:hAnsi="Verdana"/>
          <w:i/>
          <w:iCs/>
          <w:color w:val="000000" w:themeColor="text1"/>
          <w:sz w:val="20"/>
          <w:szCs w:val="20"/>
          <w:u w:val="single"/>
        </w:rPr>
        <w:t xml:space="preserve"> non sono comprensivi del dividendo di </w:t>
      </w:r>
      <w:r w:rsidR="003B4079">
        <w:rPr>
          <w:rFonts w:ascii="Verdana" w:hAnsi="Verdana"/>
          <w:i/>
          <w:iCs/>
          <w:color w:val="000000" w:themeColor="text1"/>
          <w:sz w:val="20"/>
          <w:szCs w:val="20"/>
          <w:u w:val="single"/>
        </w:rPr>
        <w:t>INCO</w:t>
      </w:r>
      <w:r w:rsidR="0067700D">
        <w:rPr>
          <w:rFonts w:ascii="Verdana" w:hAnsi="Verdana"/>
          <w:i/>
          <w:iCs/>
          <w:color w:val="000000" w:themeColor="text1"/>
          <w:sz w:val="20"/>
          <w:szCs w:val="20"/>
          <w:u w:val="single"/>
        </w:rPr>
        <w:t>.</w:t>
      </w:r>
      <w:r w:rsidR="003B4079">
        <w:rPr>
          <w:rFonts w:ascii="Verdana" w:hAnsi="Verdana"/>
          <w:i/>
          <w:iCs/>
          <w:color w:val="000000" w:themeColor="text1"/>
          <w:sz w:val="20"/>
          <w:szCs w:val="20"/>
          <w:u w:val="single"/>
        </w:rPr>
        <w:t>FARMA</w:t>
      </w:r>
      <w:r w:rsidRPr="00A45056">
        <w:rPr>
          <w:rFonts w:ascii="Verdana" w:hAnsi="Verdana"/>
          <w:i/>
          <w:iCs/>
          <w:color w:val="000000" w:themeColor="text1"/>
          <w:sz w:val="20"/>
          <w:szCs w:val="20"/>
          <w:u w:val="single"/>
        </w:rPr>
        <w:t xml:space="preserve"> </w:t>
      </w:r>
      <w:proofErr w:type="spellStart"/>
      <w:r w:rsidRPr="00A45056">
        <w:rPr>
          <w:rFonts w:ascii="Verdana" w:hAnsi="Verdana"/>
          <w:i/>
          <w:iCs/>
          <w:color w:val="000000" w:themeColor="text1"/>
          <w:sz w:val="20"/>
          <w:szCs w:val="20"/>
          <w:u w:val="single"/>
        </w:rPr>
        <w:t>S.p.</w:t>
      </w:r>
      <w:r w:rsidRPr="00A45056">
        <w:rPr>
          <w:rFonts w:ascii="Verdana" w:hAnsi="Verdana"/>
          <w:color w:val="000000" w:themeColor="text1"/>
          <w:sz w:val="20"/>
          <w:szCs w:val="20"/>
          <w:u w:val="single"/>
        </w:rPr>
        <w:t>A</w:t>
      </w:r>
      <w:proofErr w:type="spellEnd"/>
      <w:r w:rsidRPr="00A45056">
        <w:rPr>
          <w:rFonts w:ascii="Verdana" w:hAnsi="Verdana"/>
          <w:color w:val="000000" w:themeColor="text1"/>
          <w:sz w:val="20"/>
          <w:szCs w:val="20"/>
        </w:rPr>
        <w:t>»;</w:t>
      </w:r>
    </w:p>
    <w:p w:rsidR="00264DCB" w:rsidRPr="00A45056" w:rsidRDefault="000E7F3D" w:rsidP="005F425B">
      <w:pPr>
        <w:numPr>
          <w:ilvl w:val="0"/>
          <w:numId w:val="27"/>
        </w:numPr>
        <w:shd w:val="clear" w:color="auto" w:fill="FEFFFF"/>
        <w:tabs>
          <w:tab w:val="clear" w:pos="300"/>
          <w:tab w:val="num" w:pos="714"/>
        </w:tabs>
        <w:spacing w:line="360" w:lineRule="auto"/>
        <w:ind w:left="426" w:hanging="426"/>
        <w:jc w:val="both"/>
        <w:rPr>
          <w:rFonts w:ascii="Verdana" w:eastAsia="Verdana" w:hAnsi="Verdana" w:cs="Verdana"/>
          <w:color w:val="000000" w:themeColor="text1"/>
          <w:sz w:val="20"/>
          <w:szCs w:val="20"/>
        </w:rPr>
      </w:pPr>
      <w:proofErr w:type="gramStart"/>
      <w:r w:rsidRPr="00A45056">
        <w:rPr>
          <w:rFonts w:ascii="Verdana" w:hAnsi="Verdana"/>
          <w:color w:val="000000" w:themeColor="text1"/>
          <w:sz w:val="20"/>
          <w:szCs w:val="20"/>
        </w:rPr>
        <w:t>è</w:t>
      </w:r>
      <w:proofErr w:type="gramEnd"/>
      <w:r w:rsidRPr="00A45056">
        <w:rPr>
          <w:rFonts w:ascii="Verdana" w:hAnsi="Verdana"/>
          <w:color w:val="000000" w:themeColor="text1"/>
          <w:sz w:val="20"/>
          <w:szCs w:val="20"/>
        </w:rPr>
        <w:t xml:space="preserve"> previsto il recupero </w:t>
      </w:r>
      <w:r w:rsidR="000F2F92" w:rsidRPr="00A45056">
        <w:rPr>
          <w:rFonts w:ascii="Verdana" w:hAnsi="Verdana"/>
          <w:color w:val="000000" w:themeColor="text1"/>
          <w:sz w:val="20"/>
          <w:szCs w:val="20"/>
        </w:rPr>
        <w:t xml:space="preserve">del </w:t>
      </w:r>
      <w:r w:rsidRPr="00A45056">
        <w:rPr>
          <w:rFonts w:ascii="Verdana" w:hAnsi="Verdana"/>
          <w:color w:val="000000" w:themeColor="text1"/>
          <w:sz w:val="20"/>
          <w:szCs w:val="20"/>
        </w:rPr>
        <w:t>rateo 2014 del contributo onnicomprensivo 2013 (si rammenta per € 100</w:t>
      </w:r>
      <w:r w:rsidR="00D928C7" w:rsidRPr="00A45056">
        <w:rPr>
          <w:rFonts w:ascii="Verdana" w:hAnsi="Verdana"/>
          <w:color w:val="000000" w:themeColor="text1"/>
          <w:sz w:val="20"/>
          <w:szCs w:val="20"/>
        </w:rPr>
        <w:t>.000,00</w:t>
      </w:r>
      <w:r w:rsidRPr="00A45056">
        <w:rPr>
          <w:rFonts w:ascii="Verdana" w:hAnsi="Verdana"/>
          <w:color w:val="000000" w:themeColor="text1"/>
          <w:sz w:val="20"/>
          <w:szCs w:val="20"/>
        </w:rPr>
        <w:t xml:space="preserve"> nel 2014 </w:t>
      </w:r>
      <w:r w:rsidR="000F2F92" w:rsidRPr="00A45056">
        <w:rPr>
          <w:rFonts w:ascii="Verdana" w:hAnsi="Verdana"/>
          <w:color w:val="000000" w:themeColor="text1"/>
          <w:sz w:val="20"/>
          <w:szCs w:val="20"/>
        </w:rPr>
        <w:t xml:space="preserve">e per </w:t>
      </w:r>
      <w:r w:rsidRPr="00A45056">
        <w:rPr>
          <w:rFonts w:ascii="Verdana" w:hAnsi="Verdana"/>
          <w:color w:val="000000" w:themeColor="text1"/>
          <w:sz w:val="20"/>
          <w:szCs w:val="20"/>
        </w:rPr>
        <w:t>altre 100</w:t>
      </w:r>
      <w:r w:rsidR="00D928C7" w:rsidRPr="00A45056">
        <w:rPr>
          <w:rFonts w:ascii="Verdana" w:hAnsi="Verdana"/>
          <w:color w:val="000000" w:themeColor="text1"/>
          <w:sz w:val="20"/>
          <w:szCs w:val="20"/>
        </w:rPr>
        <w:t>.000,00</w:t>
      </w:r>
      <w:r w:rsidRPr="00A45056">
        <w:rPr>
          <w:rFonts w:ascii="Verdana" w:hAnsi="Verdana"/>
          <w:color w:val="000000" w:themeColor="text1"/>
          <w:sz w:val="20"/>
          <w:szCs w:val="20"/>
        </w:rPr>
        <w:t xml:space="preserve"> nel 2015);</w:t>
      </w:r>
    </w:p>
    <w:p w:rsidR="00264DCB" w:rsidRPr="00A45056" w:rsidRDefault="000E7F3D" w:rsidP="005F425B">
      <w:pPr>
        <w:numPr>
          <w:ilvl w:val="0"/>
          <w:numId w:val="27"/>
        </w:numPr>
        <w:shd w:val="clear" w:color="auto" w:fill="FEFFFF"/>
        <w:tabs>
          <w:tab w:val="clear" w:pos="300"/>
          <w:tab w:val="num" w:pos="714"/>
        </w:tabs>
        <w:spacing w:line="360" w:lineRule="auto"/>
        <w:ind w:left="426" w:hanging="426"/>
        <w:jc w:val="both"/>
        <w:rPr>
          <w:rFonts w:ascii="Verdana" w:eastAsia="Verdana" w:hAnsi="Verdana" w:cs="Verdana"/>
          <w:color w:val="000000" w:themeColor="text1"/>
          <w:sz w:val="20"/>
          <w:szCs w:val="20"/>
        </w:rPr>
      </w:pPr>
      <w:proofErr w:type="gramStart"/>
      <w:r w:rsidRPr="00A45056">
        <w:rPr>
          <w:rFonts w:ascii="Verdana" w:hAnsi="Verdana"/>
          <w:color w:val="000000" w:themeColor="text1"/>
          <w:sz w:val="20"/>
          <w:szCs w:val="20"/>
        </w:rPr>
        <w:t>l’originario</w:t>
      </w:r>
      <w:proofErr w:type="gramEnd"/>
      <w:r w:rsidRPr="00A45056">
        <w:rPr>
          <w:rFonts w:ascii="Verdana" w:hAnsi="Verdana"/>
          <w:color w:val="000000" w:themeColor="text1"/>
          <w:sz w:val="20"/>
          <w:szCs w:val="20"/>
        </w:rPr>
        <w:t xml:space="preserve"> canone dovuto per farmacia aperta </w:t>
      </w:r>
      <w:r w:rsidRPr="00A45056">
        <w:rPr>
          <w:rFonts w:ascii="Verdana" w:hAnsi="Verdana"/>
          <w:color w:val="000000" w:themeColor="text1"/>
          <w:sz w:val="20"/>
          <w:szCs w:val="20"/>
          <w:u w:val="single"/>
        </w:rPr>
        <w:t>è rivisto al rialzo, ma solo a partire dagli anni successivi al 2015</w:t>
      </w:r>
      <w:r w:rsidRPr="00A45056">
        <w:rPr>
          <w:rFonts w:ascii="Verdana" w:hAnsi="Verdana"/>
          <w:color w:val="000000" w:themeColor="text1"/>
          <w:sz w:val="20"/>
          <w:szCs w:val="20"/>
        </w:rPr>
        <w:t xml:space="preserve">. Infatti il canone rimane fissato, come da originaria aggiudicazione, in € </w:t>
      </w:r>
      <w:r w:rsidRPr="00A45056">
        <w:rPr>
          <w:rFonts w:ascii="Verdana" w:hAnsi="Verdana"/>
          <w:color w:val="000000" w:themeColor="text1"/>
          <w:sz w:val="20"/>
          <w:szCs w:val="20"/>
        </w:rPr>
        <w:lastRenderedPageBreak/>
        <w:t>250,00 x 12 (mensilità) x (numero di farmacie gestite ed effettivamente funzionanti), mentre, «</w:t>
      </w:r>
      <w:r w:rsidRPr="00A45056">
        <w:rPr>
          <w:rFonts w:ascii="Verdana" w:hAnsi="Verdana"/>
          <w:i/>
          <w:iCs/>
          <w:color w:val="000000" w:themeColor="text1"/>
          <w:sz w:val="20"/>
          <w:szCs w:val="20"/>
        </w:rPr>
        <w:t>a partire dall'anno 2016 l'importo del canone mensile fisso sarà innalzato ad € 500,00, gli importi dei canoni sono da intendersi inclusi iva come per legge</w:t>
      </w:r>
      <w:r w:rsidRPr="00A45056">
        <w:rPr>
          <w:rFonts w:ascii="Verdana" w:hAnsi="Verdana"/>
          <w:color w:val="000000" w:themeColor="text1"/>
          <w:sz w:val="20"/>
          <w:szCs w:val="20"/>
        </w:rPr>
        <w:t>» (art. 6</w:t>
      </w:r>
      <w:r w:rsidR="000F2F92" w:rsidRPr="00A45056">
        <w:rPr>
          <w:rFonts w:ascii="Verdana" w:hAnsi="Verdana"/>
          <w:color w:val="000000" w:themeColor="text1"/>
          <w:sz w:val="20"/>
          <w:szCs w:val="20"/>
        </w:rPr>
        <w:t>).</w:t>
      </w:r>
    </w:p>
    <w:p w:rsidR="00264DCB" w:rsidRPr="00A45056" w:rsidRDefault="00264DCB">
      <w:pPr>
        <w:widowControl w:val="0"/>
        <w:shd w:val="clear" w:color="auto" w:fill="FEFFFF"/>
        <w:spacing w:line="360" w:lineRule="auto"/>
        <w:ind w:firstLine="354"/>
        <w:jc w:val="both"/>
        <w:rPr>
          <w:rFonts w:ascii="Verdana" w:eastAsia="Verdana" w:hAnsi="Verdana" w:cs="Verdana"/>
          <w:color w:val="000000" w:themeColor="text1"/>
          <w:sz w:val="20"/>
          <w:szCs w:val="20"/>
        </w:rPr>
      </w:pPr>
    </w:p>
    <w:p w:rsidR="00264DCB" w:rsidRPr="00A45056" w:rsidRDefault="000E7F3D">
      <w:pPr>
        <w:widowControl w:val="0"/>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 xml:space="preserve">Tabella H. Flussi finanziari tra CISS e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NEL </w:t>
      </w:r>
      <w:r w:rsidR="000F2F92" w:rsidRPr="00A45056">
        <w:rPr>
          <w:rFonts w:ascii="Verdana" w:hAnsi="Verdana"/>
          <w:color w:val="000000" w:themeColor="text1"/>
          <w:sz w:val="20"/>
          <w:szCs w:val="20"/>
        </w:rPr>
        <w:t>2014</w:t>
      </w:r>
      <w:r w:rsidRPr="00A45056">
        <w:rPr>
          <w:rFonts w:ascii="Verdana" w:hAnsi="Verdana"/>
          <w:color w:val="000000" w:themeColor="text1"/>
          <w:sz w:val="20"/>
          <w:szCs w:val="20"/>
        </w:rPr>
        <w:t>. Fonte: relazione del Direttore generale</w:t>
      </w:r>
      <w:r w:rsidR="00593907" w:rsidRPr="00A45056">
        <w:rPr>
          <w:rFonts w:ascii="Verdana" w:hAnsi="Verdana"/>
          <w:color w:val="000000" w:themeColor="text1"/>
          <w:sz w:val="20"/>
          <w:szCs w:val="20"/>
        </w:rPr>
        <w:t>.</w:t>
      </w:r>
    </w:p>
    <w:tbl>
      <w:tblPr>
        <w:tblStyle w:val="TableNormal"/>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8"/>
        <w:gridCol w:w="1270"/>
        <w:gridCol w:w="3759"/>
        <w:gridCol w:w="2455"/>
        <w:gridCol w:w="1570"/>
      </w:tblGrid>
      <w:tr w:rsidR="00264DCB" w:rsidRPr="00F63A96">
        <w:trPr>
          <w:trHeight w:val="443"/>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264DCB" w:rsidRPr="00F63A96" w:rsidRDefault="000E7F3D" w:rsidP="003B4079">
            <w:pPr>
              <w:jc w:val="center"/>
              <w:rPr>
                <w:color w:val="000000" w:themeColor="text1"/>
              </w:rPr>
            </w:pPr>
            <w:r w:rsidRPr="00F63A96">
              <w:rPr>
                <w:rFonts w:ascii="Arial"/>
                <w:b/>
                <w:bCs/>
                <w:color w:val="000000" w:themeColor="text1"/>
                <w:sz w:val="20"/>
                <w:szCs w:val="20"/>
              </w:rPr>
              <w:t xml:space="preserve">TABELLA FATTURATO A SOCIGESS S.p.A. E RELATIVI INCASSI DA PARTE DEL </w:t>
            </w:r>
            <w:r w:rsidR="003B4079">
              <w:rPr>
                <w:rFonts w:ascii="Arial"/>
                <w:b/>
                <w:bCs/>
                <w:color w:val="000000" w:themeColor="text1"/>
                <w:sz w:val="20"/>
                <w:szCs w:val="20"/>
              </w:rPr>
              <w:t>CISS</w:t>
            </w:r>
            <w:r w:rsidRPr="00F63A96">
              <w:rPr>
                <w:rFonts w:ascii="Arial"/>
                <w:b/>
                <w:bCs/>
                <w:color w:val="000000" w:themeColor="text1"/>
                <w:sz w:val="20"/>
                <w:szCs w:val="20"/>
              </w:rPr>
              <w:t>. IN BASE ALL</w:t>
            </w:r>
            <w:r w:rsidRPr="00F63A96">
              <w:rPr>
                <w:rFonts w:hAnsi="Arial"/>
                <w:b/>
                <w:bCs/>
                <w:color w:val="000000" w:themeColor="text1"/>
                <w:sz w:val="20"/>
                <w:szCs w:val="20"/>
              </w:rPr>
              <w:t>’</w:t>
            </w:r>
            <w:r w:rsidRPr="00F63A96">
              <w:rPr>
                <w:rFonts w:ascii="Arial"/>
                <w:b/>
                <w:bCs/>
                <w:color w:val="000000" w:themeColor="text1"/>
                <w:sz w:val="20"/>
                <w:szCs w:val="20"/>
              </w:rPr>
              <w:t xml:space="preserve">ART </w:t>
            </w:r>
            <w:proofErr w:type="gramStart"/>
            <w:r w:rsidRPr="00F63A96">
              <w:rPr>
                <w:rFonts w:ascii="Arial"/>
                <w:b/>
                <w:bCs/>
                <w:color w:val="000000" w:themeColor="text1"/>
                <w:sz w:val="20"/>
                <w:szCs w:val="20"/>
              </w:rPr>
              <w:t>6  CONTRATTO</w:t>
            </w:r>
            <w:proofErr w:type="gramEnd"/>
            <w:r w:rsidRPr="00F63A96">
              <w:rPr>
                <w:rFonts w:ascii="Arial"/>
                <w:b/>
                <w:bCs/>
                <w:color w:val="000000" w:themeColor="text1"/>
                <w:sz w:val="20"/>
                <w:szCs w:val="20"/>
              </w:rPr>
              <w:t xml:space="preserve"> DI SERVIZIO DEL 15/01/2014</w:t>
            </w:r>
          </w:p>
        </w:tc>
      </w:tr>
      <w:tr w:rsidR="00264DCB" w:rsidRPr="00F63A96" w:rsidTr="004753CD">
        <w:trPr>
          <w:trHeight w:val="204"/>
        </w:trPr>
        <w:tc>
          <w:tcPr>
            <w:tcW w:w="5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N</w:t>
            </w:r>
          </w:p>
        </w:tc>
        <w:tc>
          <w:tcPr>
            <w:tcW w:w="12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DATA</w:t>
            </w:r>
          </w:p>
        </w:tc>
        <w:tc>
          <w:tcPr>
            <w:tcW w:w="37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DESCRIZIONE</w:t>
            </w:r>
          </w:p>
        </w:tc>
        <w:tc>
          <w:tcPr>
            <w:tcW w:w="245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FATTURATO</w:t>
            </w:r>
          </w:p>
        </w:tc>
        <w:tc>
          <w:tcPr>
            <w:tcW w:w="1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INCASSATO</w:t>
            </w:r>
          </w:p>
        </w:tc>
      </w:tr>
      <w:tr w:rsidR="00264DCB" w:rsidRPr="00F63A96" w:rsidTr="004753CD">
        <w:trPr>
          <w:trHeight w:val="2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17/09/2014</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ACCONTO ANNO 2014</w:t>
            </w:r>
          </w:p>
        </w:tc>
        <w:tc>
          <w:tcPr>
            <w:tcW w:w="24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100.000,00 </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r>
      <w:tr w:rsidR="00264DCB" w:rsidRPr="00F63A96" w:rsidTr="004753CD">
        <w:trPr>
          <w:trHeight w:val="4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hAnsi="Arial"/>
                <w:color w:val="000000" w:themeColor="text1"/>
                <w:sz w:val="18"/>
                <w:szCs w:val="18"/>
              </w:rPr>
              <w:t> </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23/12/2014</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rPr>
                <w:color w:val="000000" w:themeColor="text1"/>
              </w:rPr>
            </w:pPr>
            <w:r w:rsidRPr="00F63A96">
              <w:rPr>
                <w:rFonts w:ascii="Arial"/>
                <w:color w:val="000000" w:themeColor="text1"/>
                <w:sz w:val="18"/>
                <w:szCs w:val="18"/>
              </w:rPr>
              <w:t>ACCONTO ANNO 2014(RIF.FATT.N</w:t>
            </w:r>
            <w:r w:rsidRPr="00F63A96">
              <w:rPr>
                <w:rFonts w:hAnsi="Arial"/>
                <w:color w:val="000000" w:themeColor="text1"/>
                <w:sz w:val="18"/>
                <w:szCs w:val="18"/>
              </w:rPr>
              <w:t>°</w:t>
            </w:r>
            <w:r w:rsidRPr="00F63A96">
              <w:rPr>
                <w:rFonts w:ascii="Arial"/>
                <w:color w:val="000000" w:themeColor="text1"/>
                <w:sz w:val="18"/>
                <w:szCs w:val="18"/>
              </w:rPr>
              <w:t>2 DEL 17/09/2014)</w:t>
            </w:r>
          </w:p>
        </w:tc>
        <w:tc>
          <w:tcPr>
            <w:tcW w:w="24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w:t>
            </w:r>
            <w:r w:rsidRPr="00F63A96">
              <w:rPr>
                <w:rFonts w:ascii="Arial"/>
                <w:color w:val="000000" w:themeColor="text1"/>
                <w:sz w:val="18"/>
                <w:szCs w:val="18"/>
              </w:rPr>
              <w:t xml:space="preserve">100.000,00 </w:t>
            </w:r>
          </w:p>
        </w:tc>
      </w:tr>
      <w:tr w:rsidR="00264DCB" w:rsidRPr="00F63A96" w:rsidTr="004753CD">
        <w:trPr>
          <w:trHeight w:val="12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0E7F3D">
            <w:pPr>
              <w:jc w:val="center"/>
              <w:rPr>
                <w:color w:val="000000" w:themeColor="text1"/>
              </w:rPr>
            </w:pPr>
            <w:r w:rsidRPr="00F63A96">
              <w:rPr>
                <w:rFonts w:ascii="Arial"/>
                <w:color w:val="000000" w:themeColor="text1"/>
                <w:sz w:val="18"/>
                <w:szCs w:val="18"/>
              </w:rPr>
              <w:t>10/02/2015</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jc w:val="both"/>
              <w:rPr>
                <w:color w:val="000000" w:themeColor="text1"/>
              </w:rPr>
            </w:pPr>
            <w:r w:rsidRPr="00F63A96">
              <w:rPr>
                <w:rFonts w:ascii="Arial"/>
                <w:color w:val="000000" w:themeColor="text1"/>
                <w:sz w:val="18"/>
                <w:szCs w:val="18"/>
              </w:rPr>
              <w:t xml:space="preserve">SALDO 2014(applicato art. 6 del contratto di servizio del 15/01/2014)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100.000 DA DISTRIBUIRE E FATTURATO SU COMPETENZE 2014 + 250 per 12 </w:t>
            </w:r>
            <w:proofErr w:type="gramStart"/>
            <w:r w:rsidRPr="00F63A96">
              <w:rPr>
                <w:rFonts w:ascii="Arial"/>
                <w:color w:val="000000" w:themeColor="text1"/>
                <w:sz w:val="18"/>
                <w:szCs w:val="18"/>
              </w:rPr>
              <w:t>mensilit</w:t>
            </w:r>
            <w:r w:rsidRPr="00F63A96">
              <w:rPr>
                <w:rFonts w:hAnsi="Arial"/>
                <w:color w:val="000000" w:themeColor="text1"/>
                <w:sz w:val="18"/>
                <w:szCs w:val="18"/>
              </w:rPr>
              <w:t>à</w:t>
            </w:r>
            <w:r w:rsidRPr="00F63A96">
              <w:rPr>
                <w:rFonts w:hAnsi="Arial"/>
                <w:color w:val="000000" w:themeColor="text1"/>
                <w:sz w:val="18"/>
                <w:szCs w:val="18"/>
              </w:rPr>
              <w:t xml:space="preserve"> </w:t>
            </w:r>
            <w:r w:rsidRPr="00F63A96">
              <w:rPr>
                <w:rFonts w:ascii="Arial"/>
                <w:color w:val="000000" w:themeColor="text1"/>
                <w:sz w:val="18"/>
                <w:szCs w:val="18"/>
              </w:rPr>
              <w:t xml:space="preserve"> X</w:t>
            </w:r>
            <w:proofErr w:type="gramEnd"/>
            <w:r w:rsidRPr="00F63A96">
              <w:rPr>
                <w:rFonts w:ascii="Arial"/>
                <w:color w:val="000000" w:themeColor="text1"/>
                <w:sz w:val="18"/>
                <w:szCs w:val="18"/>
              </w:rPr>
              <w:t xml:space="preserve"> N</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15 FARMACIE APERTE (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45.000) =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145.000 TOTALE 2014 </w:t>
            </w:r>
          </w:p>
        </w:tc>
        <w:tc>
          <w:tcPr>
            <w:tcW w:w="24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xml:space="preserve"> </w:t>
            </w:r>
            <w:r w:rsidRPr="00F63A96">
              <w:rPr>
                <w:rFonts w:hAnsi="Arial"/>
                <w:color w:val="000000" w:themeColor="text1"/>
                <w:sz w:val="18"/>
                <w:szCs w:val="18"/>
              </w:rPr>
              <w:t>€</w:t>
            </w:r>
            <w:r w:rsidRPr="00F63A96">
              <w:rPr>
                <w:rFonts w:hAnsi="Arial"/>
                <w:color w:val="000000" w:themeColor="text1"/>
                <w:sz w:val="18"/>
                <w:szCs w:val="18"/>
              </w:rPr>
              <w:t xml:space="preserve">    </w:t>
            </w:r>
            <w:r w:rsidRPr="00F63A96">
              <w:rPr>
                <w:rFonts w:ascii="Arial"/>
                <w:color w:val="000000" w:themeColor="text1"/>
                <w:sz w:val="18"/>
                <w:szCs w:val="18"/>
              </w:rPr>
              <w:t xml:space="preserve">45.000,00 </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F63A96">
              <w:rPr>
                <w:rFonts w:hAnsi="Arial"/>
                <w:color w:val="000000" w:themeColor="text1"/>
                <w:sz w:val="18"/>
                <w:szCs w:val="18"/>
              </w:rPr>
              <w:t> </w:t>
            </w:r>
          </w:p>
        </w:tc>
      </w:tr>
      <w:tr w:rsidR="00264DCB" w:rsidRPr="00F63A96" w:rsidTr="004753CD">
        <w:trPr>
          <w:trHeight w:val="5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264DCB">
            <w:pPr>
              <w:rPr>
                <w:color w:val="000000" w:themeColor="text1"/>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DCB" w:rsidRPr="00F63A96" w:rsidRDefault="00264DCB">
            <w:pPr>
              <w:rPr>
                <w:color w:val="000000" w:themeColor="text1"/>
              </w:rPr>
            </w:pPr>
          </w:p>
        </w:tc>
        <w:tc>
          <w:tcPr>
            <w:tcW w:w="37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jc w:val="both"/>
              <w:rPr>
                <w:color w:val="000000" w:themeColor="text1"/>
              </w:rPr>
            </w:pPr>
            <w:r w:rsidRPr="00F63A96">
              <w:rPr>
                <w:rFonts w:ascii="Arial"/>
                <w:b/>
                <w:bCs/>
                <w:color w:val="000000" w:themeColor="text1"/>
                <w:sz w:val="18"/>
                <w:szCs w:val="18"/>
              </w:rPr>
              <w:t>TOTALE</w:t>
            </w:r>
          </w:p>
        </w:tc>
        <w:tc>
          <w:tcPr>
            <w:tcW w:w="24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pStyle w:val="Stiletabella2"/>
              <w:rPr>
                <w:color w:val="000000" w:themeColor="text1"/>
              </w:rPr>
            </w:pPr>
            <w:r w:rsidRPr="00F63A96">
              <w:rPr>
                <w:rFonts w:hAnsi="Times New Roman"/>
                <w:b/>
                <w:bCs/>
                <w:color w:val="000000" w:themeColor="text1"/>
                <w:u w:color="000000"/>
              </w:rPr>
              <w:t>€</w:t>
            </w:r>
            <w:r w:rsidRPr="00F63A96">
              <w:rPr>
                <w:rFonts w:hAnsi="Times New Roman"/>
                <w:b/>
                <w:bCs/>
                <w:color w:val="000000" w:themeColor="text1"/>
                <w:u w:color="000000"/>
              </w:rPr>
              <w:tab/>
            </w:r>
            <w:r w:rsidRPr="00F63A96">
              <w:rPr>
                <w:rFonts w:ascii="Times New Roman"/>
                <w:b/>
                <w:bCs/>
                <w:color w:val="000000" w:themeColor="text1"/>
                <w:u w:color="000000"/>
              </w:rPr>
              <w:t>145.000,00</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64DCB" w:rsidRPr="00F63A96" w:rsidRDefault="000E7F3D">
            <w:pPr>
              <w:rPr>
                <w:color w:val="000000" w:themeColor="text1"/>
              </w:rPr>
            </w:pPr>
            <w:r w:rsidRPr="004753CD">
              <w:rPr>
                <w:rFonts w:eastAsia="Helvetica" w:hAnsi="Helvetica" w:cs="Helvetica"/>
                <w:b/>
                <w:bCs/>
                <w:color w:val="000000" w:themeColor="text1"/>
                <w:lang w:eastAsia="it-IT"/>
              </w:rPr>
              <w:t>€</w:t>
            </w:r>
            <w:r w:rsidRPr="004753CD">
              <w:rPr>
                <w:rFonts w:eastAsia="Helvetica" w:hAnsi="Helvetica" w:cs="Helvetica"/>
                <w:b/>
                <w:bCs/>
                <w:color w:val="000000" w:themeColor="text1"/>
                <w:lang w:eastAsia="it-IT"/>
              </w:rPr>
              <w:t xml:space="preserve">   100.000,00</w:t>
            </w:r>
          </w:p>
        </w:tc>
      </w:tr>
    </w:tbl>
    <w:p w:rsidR="00264DCB" w:rsidRPr="00F63A96" w:rsidRDefault="00264DCB">
      <w:pPr>
        <w:widowControl w:val="0"/>
        <w:shd w:val="clear" w:color="auto" w:fill="FEFFFF"/>
        <w:ind w:firstLine="354"/>
        <w:jc w:val="both"/>
        <w:rPr>
          <w:rFonts w:ascii="Verdana" w:eastAsia="Verdana" w:hAnsi="Verdana" w:cs="Verdana"/>
          <w:color w:val="000000" w:themeColor="text1"/>
          <w:sz w:val="20"/>
          <w:szCs w:val="20"/>
        </w:rPr>
      </w:pPr>
    </w:p>
    <w:p w:rsidR="00264DCB" w:rsidRPr="00F63A96" w:rsidRDefault="00C30BE0">
      <w:pPr>
        <w:shd w:val="clear" w:color="auto" w:fill="FEFFFF"/>
        <w:spacing w:line="360" w:lineRule="auto"/>
        <w:ind w:firstLine="354"/>
        <w:jc w:val="both"/>
        <w:rPr>
          <w:rFonts w:ascii="Verdana" w:eastAsia="Verdana" w:hAnsi="Verdana" w:cs="Verdana"/>
          <w:color w:val="000000" w:themeColor="text1"/>
          <w:sz w:val="20"/>
          <w:szCs w:val="20"/>
        </w:rPr>
      </w:pPr>
      <w:r>
        <w:rPr>
          <w:rFonts w:ascii="Verdana"/>
          <w:b/>
          <w:bCs/>
          <w:color w:val="000000" w:themeColor="text1"/>
          <w:sz w:val="20"/>
          <w:szCs w:val="20"/>
        </w:rPr>
        <w:t>7</w:t>
      </w:r>
      <w:r w:rsidR="000E7F3D" w:rsidRPr="00F63A96">
        <w:rPr>
          <w:rFonts w:ascii="Verdana"/>
          <w:b/>
          <w:bCs/>
          <w:color w:val="000000" w:themeColor="text1"/>
          <w:sz w:val="20"/>
          <w:szCs w:val="20"/>
        </w:rPr>
        <w:t>.2.</w:t>
      </w:r>
      <w:r w:rsidR="000E7F3D" w:rsidRPr="00F63A96">
        <w:rPr>
          <w:rFonts w:ascii="Verdana"/>
          <w:color w:val="000000" w:themeColor="text1"/>
          <w:sz w:val="20"/>
          <w:szCs w:val="20"/>
        </w:rPr>
        <w:t xml:space="preserve"> L</w:t>
      </w:r>
      <w:r w:rsidR="000E7F3D" w:rsidRPr="00F63A96">
        <w:rPr>
          <w:rFonts w:hAnsi="Verdana"/>
          <w:color w:val="000000" w:themeColor="text1"/>
          <w:sz w:val="20"/>
          <w:szCs w:val="20"/>
        </w:rPr>
        <w:t>’</w:t>
      </w:r>
      <w:r w:rsidR="000E7F3D" w:rsidRPr="00F63A96">
        <w:rPr>
          <w:rFonts w:ascii="Verdana"/>
          <w:color w:val="000000" w:themeColor="text1"/>
          <w:sz w:val="20"/>
          <w:szCs w:val="20"/>
        </w:rPr>
        <w:t xml:space="preserve">analisi dei flussi finanziari sopra riportati fa emergere, dal 2012, anno di raggiungimento di una massa critica di farmacie gestite, la contrazione continua dei flussi. </w:t>
      </w:r>
    </w:p>
    <w:p w:rsidR="00264DCB" w:rsidRPr="00F63A96" w:rsidRDefault="00264DCB">
      <w:pPr>
        <w:widowControl w:val="0"/>
        <w:shd w:val="clear" w:color="auto" w:fill="FEFFFF"/>
        <w:spacing w:line="360" w:lineRule="auto"/>
        <w:ind w:firstLine="354"/>
        <w:jc w:val="both"/>
        <w:rPr>
          <w:rFonts w:ascii="Verdana" w:eastAsia="Verdana" w:hAnsi="Verdana" w:cs="Verdana"/>
          <w:color w:val="000000" w:themeColor="text1"/>
          <w:sz w:val="20"/>
          <w:szCs w:val="20"/>
        </w:rPr>
      </w:pPr>
    </w:p>
    <w:p w:rsidR="00264DCB" w:rsidRPr="00F63A96" w:rsidRDefault="000E7F3D">
      <w:pPr>
        <w:widowControl w:val="0"/>
        <w:shd w:val="clear" w:color="auto" w:fill="FEFFFF"/>
        <w:spacing w:line="360" w:lineRule="auto"/>
        <w:ind w:firstLine="354"/>
        <w:jc w:val="both"/>
        <w:rPr>
          <w:rFonts w:ascii="Verdana" w:eastAsia="Verdana" w:hAnsi="Verdana" w:cs="Verdana"/>
          <w:color w:val="000000" w:themeColor="text1"/>
          <w:sz w:val="20"/>
          <w:szCs w:val="20"/>
        </w:rPr>
      </w:pPr>
      <w:r w:rsidRPr="00F63A96">
        <w:rPr>
          <w:rFonts w:ascii="Verdana"/>
          <w:color w:val="000000" w:themeColor="text1"/>
          <w:sz w:val="20"/>
          <w:szCs w:val="20"/>
        </w:rPr>
        <w:t>Tabella I. Prospetto di sintesi. Fonte:</w:t>
      </w:r>
      <w:r w:rsidR="00A805A2">
        <w:rPr>
          <w:rFonts w:ascii="Verdana"/>
          <w:color w:val="000000" w:themeColor="text1"/>
          <w:sz w:val="20"/>
          <w:szCs w:val="20"/>
        </w:rPr>
        <w:t xml:space="preserve"> </w:t>
      </w:r>
      <w:proofErr w:type="gramStart"/>
      <w:r w:rsidR="00A805A2">
        <w:rPr>
          <w:rFonts w:ascii="Verdana"/>
          <w:color w:val="000000" w:themeColor="text1"/>
          <w:sz w:val="20"/>
          <w:szCs w:val="20"/>
        </w:rPr>
        <w:t>rielaborazione  dei</w:t>
      </w:r>
      <w:proofErr w:type="gramEnd"/>
      <w:r w:rsidR="00A805A2">
        <w:rPr>
          <w:rFonts w:ascii="Verdana"/>
          <w:color w:val="000000" w:themeColor="text1"/>
          <w:sz w:val="20"/>
          <w:szCs w:val="20"/>
        </w:rPr>
        <w:t xml:space="preserve"> dati delle</w:t>
      </w:r>
      <w:r w:rsidRPr="00F63A96">
        <w:rPr>
          <w:rFonts w:ascii="Verdana"/>
          <w:color w:val="000000" w:themeColor="text1"/>
          <w:sz w:val="20"/>
          <w:szCs w:val="20"/>
        </w:rPr>
        <w:t xml:space="preserve"> tabelle precedenti</w:t>
      </w:r>
    </w:p>
    <w:tbl>
      <w:tblPr>
        <w:tblStyle w:val="TableNormal"/>
        <w:tblW w:w="9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1"/>
        <w:gridCol w:w="2381"/>
        <w:gridCol w:w="2382"/>
        <w:gridCol w:w="2382"/>
        <w:gridCol w:w="12"/>
      </w:tblGrid>
      <w:tr w:rsidR="00264DCB" w:rsidRPr="00F63A96" w:rsidTr="00863829">
        <w:trPr>
          <w:trHeight w:val="455"/>
        </w:trPr>
        <w:tc>
          <w:tcPr>
            <w:tcW w:w="9538"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417" w:type="dxa"/>
            </w:tcMar>
          </w:tcPr>
          <w:p w:rsidR="00264DCB" w:rsidRPr="00F63A96" w:rsidRDefault="000E7F3D" w:rsidP="003B4079">
            <w:pPr>
              <w:tabs>
                <w:tab w:val="left" w:pos="9072"/>
              </w:tabs>
              <w:spacing w:after="200" w:line="360" w:lineRule="auto"/>
              <w:ind w:right="337"/>
              <w:jc w:val="center"/>
              <w:rPr>
                <w:color w:val="000000" w:themeColor="text1"/>
              </w:rPr>
            </w:pPr>
            <w:r w:rsidRPr="00F63A96">
              <w:rPr>
                <w:b/>
                <w:bCs/>
                <w:color w:val="000000" w:themeColor="text1"/>
                <w:sz w:val="18"/>
                <w:szCs w:val="18"/>
              </w:rPr>
              <w:t xml:space="preserve">TABELLA SITUAZIONE RIEPILOGATIVA CREDITI VANTATI DAL </w:t>
            </w:r>
            <w:r w:rsidR="003B4079">
              <w:rPr>
                <w:b/>
                <w:bCs/>
                <w:color w:val="000000" w:themeColor="text1"/>
                <w:sz w:val="18"/>
                <w:szCs w:val="18"/>
              </w:rPr>
              <w:t>CISS</w:t>
            </w:r>
            <w:r w:rsidRPr="00F63A96">
              <w:rPr>
                <w:b/>
                <w:bCs/>
                <w:color w:val="000000" w:themeColor="text1"/>
                <w:sz w:val="18"/>
                <w:szCs w:val="18"/>
              </w:rPr>
              <w:t>. NEI CONFRONTI DI SOCIGESS S.p.A. PER GLI ANNI DI COMPETENZA CANONI DAL 2007 AL 2014</w:t>
            </w:r>
          </w:p>
        </w:tc>
      </w:tr>
      <w:tr w:rsidR="00863829" w:rsidRPr="00F63A96" w:rsidTr="00863829">
        <w:trPr>
          <w:trHeight w:val="18"/>
        </w:trPr>
        <w:tc>
          <w:tcPr>
            <w:tcW w:w="9538"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417" w:type="dxa"/>
            </w:tcMar>
          </w:tcPr>
          <w:p w:rsidR="00264DCB" w:rsidRPr="00F63A96" w:rsidRDefault="000E7F3D" w:rsidP="003B4079">
            <w:pPr>
              <w:tabs>
                <w:tab w:val="left" w:pos="9072"/>
              </w:tabs>
              <w:spacing w:after="200" w:line="360" w:lineRule="auto"/>
              <w:ind w:right="337"/>
              <w:jc w:val="center"/>
              <w:rPr>
                <w:color w:val="000000" w:themeColor="text1"/>
              </w:rPr>
            </w:pPr>
            <w:r w:rsidRPr="00F63A96">
              <w:rPr>
                <w:b/>
                <w:bCs/>
                <w:color w:val="000000" w:themeColor="text1"/>
                <w:sz w:val="18"/>
                <w:szCs w:val="18"/>
              </w:rPr>
              <w:t xml:space="preserve">Il </w:t>
            </w:r>
            <w:proofErr w:type="gramStart"/>
            <w:r w:rsidRPr="00F63A96">
              <w:rPr>
                <w:b/>
                <w:bCs/>
                <w:color w:val="000000" w:themeColor="text1"/>
                <w:sz w:val="18"/>
                <w:szCs w:val="18"/>
              </w:rPr>
              <w:t xml:space="preserve">fatturato, </w:t>
            </w:r>
            <w:r w:rsidR="00593907" w:rsidRPr="00F63A96">
              <w:rPr>
                <w:b/>
                <w:bCs/>
                <w:color w:val="000000" w:themeColor="text1"/>
                <w:sz w:val="18"/>
                <w:szCs w:val="18"/>
              </w:rPr>
              <w:t xml:space="preserve"> l</w:t>
            </w:r>
            <w:r w:rsidR="00593907" w:rsidRPr="00F63A96">
              <w:rPr>
                <w:b/>
                <w:bCs/>
                <w:color w:val="000000" w:themeColor="text1"/>
                <w:sz w:val="18"/>
                <w:szCs w:val="18"/>
              </w:rPr>
              <w:t>’</w:t>
            </w:r>
            <w:r w:rsidRPr="00F63A96">
              <w:rPr>
                <w:b/>
                <w:bCs/>
                <w:color w:val="000000" w:themeColor="text1"/>
                <w:sz w:val="18"/>
                <w:szCs w:val="18"/>
              </w:rPr>
              <w:t>incassato</w:t>
            </w:r>
            <w:proofErr w:type="gramEnd"/>
            <w:r w:rsidRPr="00F63A96">
              <w:rPr>
                <w:b/>
                <w:bCs/>
                <w:color w:val="000000" w:themeColor="text1"/>
                <w:sz w:val="18"/>
                <w:szCs w:val="18"/>
              </w:rPr>
              <w:t xml:space="preserve"> e </w:t>
            </w:r>
            <w:r w:rsidR="00593907" w:rsidRPr="00F63A96">
              <w:rPr>
                <w:b/>
                <w:bCs/>
                <w:color w:val="000000" w:themeColor="text1"/>
                <w:sz w:val="18"/>
                <w:szCs w:val="18"/>
              </w:rPr>
              <w:t xml:space="preserve">il </w:t>
            </w:r>
            <w:r w:rsidRPr="00F63A96">
              <w:rPr>
                <w:b/>
                <w:bCs/>
                <w:color w:val="000000" w:themeColor="text1"/>
                <w:sz w:val="18"/>
                <w:szCs w:val="18"/>
              </w:rPr>
              <w:t xml:space="preserve">credito vantato dal </w:t>
            </w:r>
            <w:r w:rsidR="003B4079">
              <w:rPr>
                <w:b/>
                <w:bCs/>
                <w:color w:val="000000" w:themeColor="text1"/>
                <w:sz w:val="18"/>
                <w:szCs w:val="18"/>
              </w:rPr>
              <w:t>CISS</w:t>
            </w:r>
            <w:r w:rsidRPr="00F63A96">
              <w:rPr>
                <w:b/>
                <w:bCs/>
                <w:color w:val="000000" w:themeColor="text1"/>
                <w:sz w:val="18"/>
                <w:szCs w:val="18"/>
              </w:rPr>
              <w:t xml:space="preserve"> nei confronti di </w:t>
            </w:r>
            <w:r w:rsidR="003B4079">
              <w:rPr>
                <w:b/>
                <w:bCs/>
                <w:color w:val="000000" w:themeColor="text1"/>
                <w:sz w:val="18"/>
                <w:szCs w:val="18"/>
              </w:rPr>
              <w:t>SOCIGESS</w:t>
            </w:r>
            <w:r w:rsidR="003B4079" w:rsidRPr="00F63A96">
              <w:rPr>
                <w:b/>
                <w:bCs/>
                <w:color w:val="000000" w:themeColor="text1"/>
                <w:sz w:val="18"/>
                <w:szCs w:val="18"/>
              </w:rPr>
              <w:t xml:space="preserve"> </w:t>
            </w:r>
            <w:r w:rsidRPr="00F63A96">
              <w:rPr>
                <w:b/>
                <w:bCs/>
                <w:color w:val="000000" w:themeColor="text1"/>
                <w:sz w:val="18"/>
                <w:szCs w:val="18"/>
              </w:rPr>
              <w:t xml:space="preserve">S.p.A. </w:t>
            </w:r>
            <w:r w:rsidR="00A805A2">
              <w:rPr>
                <w:rFonts w:hAnsi="Times New Roman"/>
                <w:b/>
                <w:bCs/>
                <w:color w:val="000000" w:themeColor="text1"/>
                <w:sz w:val="18"/>
                <w:szCs w:val="18"/>
              </w:rPr>
              <w:t>sono</w:t>
            </w:r>
            <w:r w:rsidR="00A805A2" w:rsidRPr="00F63A96">
              <w:rPr>
                <w:rFonts w:hAnsi="Times New Roman"/>
                <w:b/>
                <w:bCs/>
                <w:color w:val="000000" w:themeColor="text1"/>
                <w:sz w:val="18"/>
                <w:szCs w:val="18"/>
              </w:rPr>
              <w:t xml:space="preserve"> </w:t>
            </w:r>
            <w:r w:rsidR="00A805A2" w:rsidRPr="00F63A96">
              <w:rPr>
                <w:b/>
                <w:bCs/>
                <w:color w:val="000000" w:themeColor="text1"/>
                <w:sz w:val="18"/>
                <w:szCs w:val="18"/>
              </w:rPr>
              <w:t>relativ</w:t>
            </w:r>
            <w:r w:rsidR="00A805A2">
              <w:rPr>
                <w:b/>
                <w:bCs/>
                <w:color w:val="000000" w:themeColor="text1"/>
                <w:sz w:val="18"/>
                <w:szCs w:val="18"/>
              </w:rPr>
              <w:t>i</w:t>
            </w:r>
            <w:r w:rsidR="00A805A2" w:rsidRPr="00F63A96">
              <w:rPr>
                <w:b/>
                <w:bCs/>
                <w:color w:val="000000" w:themeColor="text1"/>
                <w:sz w:val="18"/>
                <w:szCs w:val="18"/>
              </w:rPr>
              <w:t xml:space="preserve"> </w:t>
            </w:r>
            <w:r w:rsidRPr="00F63A96">
              <w:rPr>
                <w:b/>
                <w:bCs/>
                <w:color w:val="000000" w:themeColor="text1"/>
                <w:sz w:val="18"/>
                <w:szCs w:val="18"/>
              </w:rPr>
              <w:t>ai singoli anni di competenza esposti in tabella, pertanto tra un anno e l</w:t>
            </w:r>
            <w:r w:rsidRPr="00F63A96">
              <w:rPr>
                <w:rFonts w:hAnsi="Times New Roman"/>
                <w:b/>
                <w:bCs/>
                <w:color w:val="000000" w:themeColor="text1"/>
                <w:sz w:val="18"/>
                <w:szCs w:val="18"/>
              </w:rPr>
              <w:t>’</w:t>
            </w:r>
            <w:r w:rsidRPr="00F63A96">
              <w:rPr>
                <w:b/>
                <w:bCs/>
                <w:color w:val="000000" w:themeColor="text1"/>
                <w:sz w:val="18"/>
                <w:szCs w:val="18"/>
              </w:rPr>
              <w:t>altro non c</w:t>
            </w:r>
            <w:r w:rsidRPr="00F63A96">
              <w:rPr>
                <w:rFonts w:hAnsi="Times New Roman"/>
                <w:b/>
                <w:bCs/>
                <w:color w:val="000000" w:themeColor="text1"/>
                <w:sz w:val="18"/>
                <w:szCs w:val="18"/>
              </w:rPr>
              <w:t xml:space="preserve">’è </w:t>
            </w:r>
            <w:r w:rsidRPr="00F63A96">
              <w:rPr>
                <w:b/>
                <w:bCs/>
                <w:color w:val="000000" w:themeColor="text1"/>
                <w:sz w:val="18"/>
                <w:szCs w:val="18"/>
              </w:rPr>
              <w:t>riporto dei saldi dell</w:t>
            </w:r>
            <w:r w:rsidRPr="00F63A96">
              <w:rPr>
                <w:rFonts w:hAnsi="Times New Roman"/>
                <w:b/>
                <w:bCs/>
                <w:color w:val="000000" w:themeColor="text1"/>
                <w:sz w:val="18"/>
                <w:szCs w:val="18"/>
              </w:rPr>
              <w:t>’</w:t>
            </w:r>
            <w:r w:rsidRPr="00F63A96">
              <w:rPr>
                <w:b/>
                <w:bCs/>
                <w:color w:val="000000" w:themeColor="text1"/>
                <w:sz w:val="18"/>
                <w:szCs w:val="18"/>
              </w:rPr>
              <w:t>anno precedente al fine di fornire un</w:t>
            </w:r>
            <w:r w:rsidRPr="00F63A96">
              <w:rPr>
                <w:rFonts w:hAnsi="Times New Roman"/>
                <w:b/>
                <w:bCs/>
                <w:color w:val="000000" w:themeColor="text1"/>
                <w:sz w:val="18"/>
                <w:szCs w:val="18"/>
              </w:rPr>
              <w:t>’</w:t>
            </w:r>
            <w:r w:rsidRPr="00F63A96">
              <w:rPr>
                <w:b/>
                <w:bCs/>
                <w:color w:val="000000" w:themeColor="text1"/>
                <w:sz w:val="18"/>
                <w:szCs w:val="18"/>
              </w:rPr>
              <w:t>esposizione pi</w:t>
            </w:r>
            <w:r w:rsidRPr="00F63A96">
              <w:rPr>
                <w:rFonts w:hAnsi="Times New Roman"/>
                <w:b/>
                <w:bCs/>
                <w:color w:val="000000" w:themeColor="text1"/>
                <w:sz w:val="18"/>
                <w:szCs w:val="18"/>
              </w:rPr>
              <w:t xml:space="preserve">ù </w:t>
            </w:r>
            <w:r w:rsidRPr="00F63A96">
              <w:rPr>
                <w:b/>
                <w:bCs/>
                <w:color w:val="000000" w:themeColor="text1"/>
                <w:sz w:val="18"/>
                <w:szCs w:val="18"/>
              </w:rPr>
              <w:t>chiara per ogni singolo anno di competenza</w:t>
            </w:r>
          </w:p>
        </w:tc>
      </w:tr>
      <w:tr w:rsidR="00140ECE" w:rsidRPr="00F63A96" w:rsidTr="00140ECE">
        <w:trPr>
          <w:gridAfter w:val="1"/>
          <w:wAfter w:w="12" w:type="dxa"/>
          <w:trHeight w:val="730"/>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Anno di competenza economica canoni</w:t>
            </w:r>
          </w:p>
        </w:tc>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417" w:type="dxa"/>
            </w:tcMar>
          </w:tcPr>
          <w:p w:rsidR="00264DCB" w:rsidRPr="00F63A96" w:rsidRDefault="000E7F3D" w:rsidP="003B4079">
            <w:pPr>
              <w:tabs>
                <w:tab w:val="left" w:pos="9072"/>
              </w:tabs>
              <w:spacing w:after="200" w:line="360" w:lineRule="auto"/>
              <w:ind w:right="337"/>
              <w:jc w:val="center"/>
              <w:rPr>
                <w:color w:val="000000" w:themeColor="text1"/>
              </w:rPr>
            </w:pPr>
            <w:r w:rsidRPr="00F63A96">
              <w:rPr>
                <w:b/>
                <w:bCs/>
                <w:color w:val="000000" w:themeColor="text1"/>
                <w:sz w:val="18"/>
                <w:szCs w:val="18"/>
              </w:rPr>
              <w:t xml:space="preserve">Fatturato a </w:t>
            </w:r>
            <w:r w:rsidR="003B4079">
              <w:rPr>
                <w:b/>
                <w:bCs/>
                <w:color w:val="000000" w:themeColor="text1"/>
                <w:sz w:val="18"/>
                <w:szCs w:val="18"/>
              </w:rPr>
              <w:t xml:space="preserve">SOCIGESS </w:t>
            </w:r>
            <w:proofErr w:type="spellStart"/>
            <w:r w:rsidR="003B4079" w:rsidRPr="00F63A96">
              <w:rPr>
                <w:b/>
                <w:bCs/>
                <w:color w:val="000000" w:themeColor="text1"/>
                <w:sz w:val="18"/>
                <w:szCs w:val="18"/>
              </w:rPr>
              <w:t>S</w:t>
            </w:r>
            <w:r w:rsidRPr="00F63A96">
              <w:rPr>
                <w:b/>
                <w:bCs/>
                <w:color w:val="000000" w:themeColor="text1"/>
                <w:sz w:val="18"/>
                <w:szCs w:val="18"/>
              </w:rPr>
              <w:t>.p.A</w:t>
            </w:r>
            <w:proofErr w:type="spellEnd"/>
          </w:p>
        </w:tc>
        <w:tc>
          <w:tcPr>
            <w:tcW w:w="23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417" w:type="dxa"/>
            </w:tcMar>
          </w:tcPr>
          <w:p w:rsidR="00264DCB" w:rsidRPr="00F63A96" w:rsidRDefault="000E7F3D" w:rsidP="003B4079">
            <w:pPr>
              <w:tabs>
                <w:tab w:val="left" w:pos="9072"/>
              </w:tabs>
              <w:spacing w:after="200" w:line="360" w:lineRule="auto"/>
              <w:ind w:right="337"/>
              <w:jc w:val="center"/>
              <w:rPr>
                <w:color w:val="000000" w:themeColor="text1"/>
              </w:rPr>
            </w:pPr>
            <w:r w:rsidRPr="00F63A96">
              <w:rPr>
                <w:b/>
                <w:bCs/>
                <w:color w:val="000000" w:themeColor="text1"/>
                <w:sz w:val="18"/>
                <w:szCs w:val="18"/>
              </w:rPr>
              <w:t xml:space="preserve">Incassato da </w:t>
            </w:r>
            <w:r w:rsidR="003B4079">
              <w:rPr>
                <w:b/>
                <w:bCs/>
                <w:color w:val="000000" w:themeColor="text1"/>
                <w:sz w:val="18"/>
                <w:szCs w:val="18"/>
              </w:rPr>
              <w:t xml:space="preserve">SOCIGESS </w:t>
            </w:r>
            <w:proofErr w:type="spellStart"/>
            <w:r w:rsidR="003B4079" w:rsidRPr="00F63A96">
              <w:rPr>
                <w:b/>
                <w:bCs/>
                <w:color w:val="000000" w:themeColor="text1"/>
                <w:sz w:val="18"/>
                <w:szCs w:val="18"/>
              </w:rPr>
              <w:t>S</w:t>
            </w:r>
            <w:r w:rsidRPr="00F63A96">
              <w:rPr>
                <w:b/>
                <w:bCs/>
                <w:color w:val="000000" w:themeColor="text1"/>
                <w:sz w:val="18"/>
                <w:szCs w:val="18"/>
              </w:rPr>
              <w:t>.p.A</w:t>
            </w:r>
            <w:proofErr w:type="spellEnd"/>
          </w:p>
        </w:tc>
        <w:tc>
          <w:tcPr>
            <w:tcW w:w="23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417" w:type="dxa"/>
            </w:tcMar>
          </w:tcPr>
          <w:p w:rsidR="00264DCB" w:rsidRPr="00F63A96" w:rsidRDefault="000E7F3D" w:rsidP="003B4079">
            <w:pPr>
              <w:tabs>
                <w:tab w:val="left" w:pos="9072"/>
              </w:tabs>
              <w:spacing w:after="200" w:line="360" w:lineRule="auto"/>
              <w:ind w:right="337"/>
              <w:jc w:val="center"/>
              <w:rPr>
                <w:color w:val="000000" w:themeColor="text1"/>
              </w:rPr>
            </w:pPr>
            <w:r w:rsidRPr="00F63A96">
              <w:rPr>
                <w:b/>
                <w:bCs/>
                <w:color w:val="000000" w:themeColor="text1"/>
                <w:sz w:val="18"/>
                <w:szCs w:val="18"/>
              </w:rPr>
              <w:t xml:space="preserve">Credito vantato dal </w:t>
            </w:r>
            <w:r w:rsidR="003B4079">
              <w:rPr>
                <w:b/>
                <w:bCs/>
                <w:color w:val="000000" w:themeColor="text1"/>
                <w:sz w:val="18"/>
                <w:szCs w:val="18"/>
              </w:rPr>
              <w:t>CISS</w:t>
            </w:r>
            <w:r w:rsidRPr="00F63A96">
              <w:rPr>
                <w:b/>
                <w:bCs/>
                <w:color w:val="000000" w:themeColor="text1"/>
                <w:sz w:val="18"/>
                <w:szCs w:val="18"/>
              </w:rPr>
              <w:t xml:space="preserve"> nei confronti di </w:t>
            </w:r>
            <w:r w:rsidR="003B4079">
              <w:rPr>
                <w:b/>
                <w:bCs/>
                <w:color w:val="000000" w:themeColor="text1"/>
                <w:sz w:val="18"/>
                <w:szCs w:val="18"/>
              </w:rPr>
              <w:t xml:space="preserve">SOCIGESS </w:t>
            </w:r>
            <w:proofErr w:type="spellStart"/>
            <w:r w:rsidR="003B4079" w:rsidRPr="00F63A96">
              <w:rPr>
                <w:b/>
                <w:bCs/>
                <w:color w:val="000000" w:themeColor="text1"/>
                <w:sz w:val="18"/>
                <w:szCs w:val="18"/>
              </w:rPr>
              <w:t>S</w:t>
            </w:r>
            <w:r w:rsidRPr="00F63A96">
              <w:rPr>
                <w:b/>
                <w:bCs/>
                <w:color w:val="000000" w:themeColor="text1"/>
                <w:sz w:val="18"/>
                <w:szCs w:val="18"/>
              </w:rPr>
              <w:t>.p.A</w:t>
            </w:r>
            <w:proofErr w:type="spellEnd"/>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2007</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140.000,00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140.000,00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rsidP="007B4604">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0</w:t>
            </w:r>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2008</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280.000,00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275.000,00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rsidP="009C1E4F">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5.000,00</w:t>
            </w:r>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2009</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280.000,00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255.000,00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25.000,00</w:t>
            </w:r>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lastRenderedPageBreak/>
              <w:t>2010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280.000,00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182.668,91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97.331,09</w:t>
            </w:r>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2011</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293.918,12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116.250,00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177.668,12</w:t>
            </w:r>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2012</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295.936,00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295.936,00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rsidP="00CC4C7C">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00CC4C7C">
              <w:rPr>
                <w:rFonts w:hAnsi="Times New Roman"/>
                <w:b/>
                <w:bCs/>
                <w:color w:val="000000" w:themeColor="text1"/>
                <w:sz w:val="18"/>
                <w:szCs w:val="18"/>
              </w:rPr>
              <w:t xml:space="preserve">   </w:t>
            </w:r>
            <w:r w:rsidRPr="00F63A96">
              <w:rPr>
                <w:rFonts w:hAnsi="Times New Roman"/>
                <w:b/>
                <w:bCs/>
                <w:color w:val="000000" w:themeColor="text1"/>
                <w:sz w:val="18"/>
                <w:szCs w:val="18"/>
              </w:rPr>
              <w:t xml:space="preserve">                  </w:t>
            </w:r>
            <w:r w:rsidRPr="00F63A96">
              <w:rPr>
                <w:b/>
                <w:bCs/>
                <w:color w:val="000000" w:themeColor="text1"/>
                <w:sz w:val="18"/>
                <w:szCs w:val="18"/>
              </w:rPr>
              <w:t>0</w:t>
            </w:r>
          </w:p>
        </w:tc>
      </w:tr>
      <w:tr w:rsidR="00140ECE" w:rsidRPr="00F63A96" w:rsidTr="00140ECE">
        <w:trPr>
          <w:gridAfter w:val="1"/>
          <w:wAfter w:w="12" w:type="dxa"/>
          <w:trHeight w:val="730"/>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2012</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proofErr w:type="gramStart"/>
            <w:r w:rsidRPr="00F63A96">
              <w:rPr>
                <w:b/>
                <w:bCs/>
                <w:color w:val="000000" w:themeColor="text1"/>
                <w:sz w:val="18"/>
                <w:szCs w:val="18"/>
              </w:rPr>
              <w:t>lodo</w:t>
            </w:r>
            <w:proofErr w:type="gramEnd"/>
            <w:r w:rsidRPr="00F63A96">
              <w:rPr>
                <w:b/>
                <w:bCs/>
                <w:color w:val="000000" w:themeColor="text1"/>
                <w:sz w:val="18"/>
                <w:szCs w:val="18"/>
              </w:rPr>
              <w:t xml:space="preserve"> arbitrale (cfr. capitolo lodo arbitrale)</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w:t>
            </w:r>
            <w:r w:rsidRPr="00F63A96">
              <w:rPr>
                <w:rFonts w:hAnsi="Times New Roman"/>
                <w:b/>
                <w:bCs/>
                <w:color w:val="000000" w:themeColor="text1"/>
                <w:sz w:val="18"/>
                <w:szCs w:val="18"/>
              </w:rPr>
              <w:t xml:space="preserve">€    </w:t>
            </w:r>
            <w:r w:rsidRPr="00F63A96">
              <w:rPr>
                <w:b/>
                <w:bCs/>
                <w:color w:val="000000" w:themeColor="text1"/>
                <w:sz w:val="18"/>
                <w:szCs w:val="18"/>
              </w:rPr>
              <w:t>275.000,00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 xml:space="preserve">- </w:t>
            </w:r>
            <w:r w:rsidRPr="00F63A96">
              <w:rPr>
                <w:rFonts w:hAnsi="Times New Roman"/>
                <w:b/>
                <w:bCs/>
                <w:color w:val="000000" w:themeColor="text1"/>
                <w:sz w:val="18"/>
                <w:szCs w:val="18"/>
              </w:rPr>
              <w:t xml:space="preserve">€       </w:t>
            </w:r>
            <w:r w:rsidRPr="00F63A96">
              <w:rPr>
                <w:b/>
                <w:bCs/>
                <w:color w:val="000000" w:themeColor="text1"/>
                <w:sz w:val="18"/>
                <w:szCs w:val="18"/>
              </w:rPr>
              <w:t>275.000,00</w:t>
            </w:r>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2013</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206.267,19</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w:t>
            </w:r>
            <w:r w:rsidRPr="00F63A96">
              <w:rPr>
                <w:rFonts w:hAnsi="Times New Roman"/>
                <w:b/>
                <w:bCs/>
                <w:color w:val="000000" w:themeColor="text1"/>
                <w:sz w:val="18"/>
                <w:szCs w:val="18"/>
              </w:rPr>
              <w:t xml:space="preserve">€     </w:t>
            </w:r>
            <w:r w:rsidRPr="00F63A96">
              <w:rPr>
                <w:b/>
                <w:bCs/>
                <w:color w:val="000000" w:themeColor="text1"/>
                <w:sz w:val="18"/>
                <w:szCs w:val="18"/>
              </w:rPr>
              <w:t>200.000,00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6.267,19</w:t>
            </w:r>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2014</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145.000,00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w:t>
            </w:r>
            <w:r w:rsidRPr="00F63A96">
              <w:rPr>
                <w:rFonts w:hAnsi="Times New Roman"/>
                <w:b/>
                <w:bCs/>
                <w:color w:val="000000" w:themeColor="text1"/>
                <w:sz w:val="18"/>
                <w:szCs w:val="18"/>
              </w:rPr>
              <w:t xml:space="preserve">€       </w:t>
            </w:r>
            <w:r w:rsidRPr="00F63A96">
              <w:rPr>
                <w:b/>
                <w:bCs/>
                <w:color w:val="000000" w:themeColor="text1"/>
                <w:sz w:val="18"/>
                <w:szCs w:val="18"/>
              </w:rPr>
              <w:t>100.000,00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Fonts w:hAnsi="Times New Roman"/>
                <w:b/>
                <w:bCs/>
                <w:color w:val="000000" w:themeColor="text1"/>
                <w:sz w:val="18"/>
                <w:szCs w:val="18"/>
              </w:rPr>
              <w:t xml:space="preserve">€            </w:t>
            </w:r>
            <w:r w:rsidRPr="00F63A96">
              <w:rPr>
                <w:b/>
                <w:bCs/>
                <w:color w:val="000000" w:themeColor="text1"/>
                <w:sz w:val="18"/>
                <w:szCs w:val="18"/>
              </w:rPr>
              <w:t>45.000,00</w:t>
            </w:r>
          </w:p>
        </w:tc>
      </w:tr>
      <w:tr w:rsidR="00140ECE" w:rsidRPr="00F63A96" w:rsidTr="00140ECE">
        <w:trPr>
          <w:gridAfter w:val="1"/>
          <w:wAfter w:w="12" w:type="dxa"/>
          <w:trHeight w:val="18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b/>
                <w:bCs/>
                <w:color w:val="000000" w:themeColor="text1"/>
                <w:sz w:val="18"/>
                <w:szCs w:val="18"/>
              </w:rPr>
              <w:t>Totale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Style w:val="Numeropagina"/>
                <w:rFonts w:hAnsi="Times New Roman"/>
                <w:b/>
                <w:bCs/>
                <w:color w:val="000000" w:themeColor="text1"/>
                <w:sz w:val="18"/>
                <w:szCs w:val="18"/>
              </w:rPr>
              <w:t xml:space="preserve">€         </w:t>
            </w:r>
            <w:r w:rsidRPr="00F63A96">
              <w:rPr>
                <w:rStyle w:val="Numeropagina"/>
                <w:b/>
                <w:bCs/>
                <w:color w:val="000000" w:themeColor="text1"/>
                <w:sz w:val="18"/>
                <w:szCs w:val="18"/>
              </w:rPr>
              <w:t>1.921.121,31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Style w:val="Numeropagina"/>
                <w:rFonts w:hAnsi="Times New Roman"/>
                <w:b/>
                <w:bCs/>
                <w:color w:val="000000" w:themeColor="text1"/>
                <w:sz w:val="18"/>
                <w:szCs w:val="18"/>
              </w:rPr>
              <w:t xml:space="preserve">€         </w:t>
            </w:r>
            <w:r w:rsidRPr="00F63A96">
              <w:rPr>
                <w:rStyle w:val="Numeropagina"/>
                <w:b/>
                <w:bCs/>
                <w:color w:val="000000" w:themeColor="text1"/>
                <w:sz w:val="18"/>
                <w:szCs w:val="18"/>
              </w:rPr>
              <w:t>1.839.854,91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17" w:type="dxa"/>
            </w:tcMar>
          </w:tcPr>
          <w:p w:rsidR="00264DCB" w:rsidRPr="00F63A96" w:rsidRDefault="000E7F3D">
            <w:pPr>
              <w:tabs>
                <w:tab w:val="left" w:pos="9072"/>
              </w:tabs>
              <w:spacing w:after="200" w:line="360" w:lineRule="auto"/>
              <w:ind w:right="337"/>
              <w:jc w:val="center"/>
              <w:rPr>
                <w:color w:val="000000" w:themeColor="text1"/>
              </w:rPr>
            </w:pPr>
            <w:r w:rsidRPr="00F63A96">
              <w:rPr>
                <w:rStyle w:val="Numeropagina"/>
                <w:rFonts w:hAnsi="Times New Roman"/>
                <w:b/>
                <w:bCs/>
                <w:color w:val="000000" w:themeColor="text1"/>
                <w:sz w:val="18"/>
                <w:szCs w:val="18"/>
              </w:rPr>
              <w:t xml:space="preserve">€               </w:t>
            </w:r>
            <w:r w:rsidRPr="00F63A96">
              <w:rPr>
                <w:rStyle w:val="Numeropagina"/>
                <w:b/>
                <w:bCs/>
                <w:color w:val="000000" w:themeColor="text1"/>
                <w:sz w:val="18"/>
                <w:szCs w:val="18"/>
              </w:rPr>
              <w:t>81.266,40</w:t>
            </w:r>
          </w:p>
        </w:tc>
      </w:tr>
    </w:tbl>
    <w:p w:rsidR="00264DCB" w:rsidRPr="00F63A96" w:rsidRDefault="00264DCB" w:rsidP="00863829">
      <w:pPr>
        <w:widowControl w:val="0"/>
        <w:shd w:val="clear" w:color="auto" w:fill="FEFFFF"/>
        <w:ind w:firstLine="354"/>
        <w:jc w:val="both"/>
        <w:rPr>
          <w:rFonts w:ascii="Verdana" w:eastAsia="Verdana" w:hAnsi="Verdana" w:cs="Verdana"/>
          <w:color w:val="000000" w:themeColor="text1"/>
          <w:sz w:val="20"/>
          <w:szCs w:val="20"/>
        </w:rPr>
      </w:pPr>
    </w:p>
    <w:p w:rsidR="00264DCB" w:rsidRPr="00F63A96" w:rsidRDefault="000E7F3D" w:rsidP="00863829">
      <w:pPr>
        <w:shd w:val="clear" w:color="auto" w:fill="FEFFFF"/>
        <w:spacing w:line="360" w:lineRule="auto"/>
        <w:ind w:firstLine="354"/>
        <w:jc w:val="both"/>
        <w:rPr>
          <w:rFonts w:ascii="Verdana" w:eastAsia="Verdana" w:hAnsi="Verdana" w:cs="Verdana"/>
          <w:color w:val="000000" w:themeColor="text1"/>
          <w:sz w:val="16"/>
          <w:szCs w:val="16"/>
        </w:rPr>
      </w:pPr>
      <w:r w:rsidRPr="00F63A96">
        <w:rPr>
          <w:rFonts w:ascii="Verdana"/>
          <w:color w:val="000000" w:themeColor="text1"/>
          <w:sz w:val="16"/>
          <w:szCs w:val="16"/>
        </w:rPr>
        <w:t xml:space="preserve">* nota di credito emessa dal </w:t>
      </w:r>
      <w:r w:rsidR="003B4079">
        <w:rPr>
          <w:rFonts w:ascii="Verdana"/>
          <w:color w:val="000000" w:themeColor="text1"/>
          <w:sz w:val="16"/>
          <w:szCs w:val="16"/>
        </w:rPr>
        <w:t>CISS</w:t>
      </w:r>
      <w:r w:rsidRPr="00F63A96">
        <w:rPr>
          <w:rFonts w:ascii="Verdana"/>
          <w:color w:val="000000" w:themeColor="text1"/>
          <w:sz w:val="16"/>
          <w:szCs w:val="16"/>
        </w:rPr>
        <w:t xml:space="preserve"> a SOCIGESS S.p.A. in ottemperanza all</w:t>
      </w:r>
      <w:r w:rsidRPr="00F63A96">
        <w:rPr>
          <w:rFonts w:hAnsi="Verdana"/>
          <w:color w:val="000000" w:themeColor="text1"/>
          <w:sz w:val="16"/>
          <w:szCs w:val="16"/>
        </w:rPr>
        <w:t>’</w:t>
      </w:r>
      <w:r w:rsidRPr="00F63A96">
        <w:rPr>
          <w:rFonts w:ascii="Verdana"/>
          <w:color w:val="000000" w:themeColor="text1"/>
          <w:sz w:val="16"/>
          <w:szCs w:val="16"/>
        </w:rPr>
        <w:t>art. 6 del contratto di servizio del 30/11/2007 e successivo deliberato dall</w:t>
      </w:r>
      <w:r w:rsidRPr="00F63A96">
        <w:rPr>
          <w:rFonts w:hAnsi="Verdana"/>
          <w:color w:val="000000" w:themeColor="text1"/>
          <w:sz w:val="16"/>
          <w:szCs w:val="16"/>
        </w:rPr>
        <w:t>’</w:t>
      </w:r>
      <w:r w:rsidRPr="00F63A96">
        <w:rPr>
          <w:rFonts w:ascii="Verdana"/>
          <w:color w:val="000000" w:themeColor="text1"/>
          <w:sz w:val="16"/>
          <w:szCs w:val="16"/>
        </w:rPr>
        <w:t xml:space="preserve">Assemblea ordinaria del Consorzio </w:t>
      </w:r>
      <w:r w:rsidR="003B4079">
        <w:rPr>
          <w:rFonts w:ascii="Verdana"/>
          <w:color w:val="000000" w:themeColor="text1"/>
          <w:sz w:val="16"/>
          <w:szCs w:val="16"/>
        </w:rPr>
        <w:t>CISS</w:t>
      </w:r>
      <w:r w:rsidRPr="00F63A96">
        <w:rPr>
          <w:rFonts w:ascii="Verdana"/>
          <w:color w:val="000000" w:themeColor="text1"/>
          <w:sz w:val="16"/>
          <w:szCs w:val="16"/>
        </w:rPr>
        <w:t xml:space="preserve"> 11/12/2013</w:t>
      </w:r>
      <w:r w:rsidR="00593907" w:rsidRPr="00F63A96">
        <w:rPr>
          <w:rFonts w:ascii="Verdana"/>
          <w:color w:val="000000" w:themeColor="text1"/>
          <w:sz w:val="16"/>
          <w:szCs w:val="16"/>
        </w:rPr>
        <w:t xml:space="preserve"> </w:t>
      </w:r>
      <w:r w:rsidRPr="00F63A96">
        <w:rPr>
          <w:rFonts w:ascii="Verdana"/>
          <w:color w:val="000000" w:themeColor="text1"/>
          <w:sz w:val="16"/>
          <w:szCs w:val="16"/>
        </w:rPr>
        <w:t>(</w:t>
      </w:r>
      <w:proofErr w:type="spellStart"/>
      <w:r w:rsidRPr="00F63A96">
        <w:rPr>
          <w:rFonts w:ascii="Verdana"/>
          <w:color w:val="000000" w:themeColor="text1"/>
          <w:sz w:val="16"/>
          <w:szCs w:val="16"/>
        </w:rPr>
        <w:t>prot</w:t>
      </w:r>
      <w:proofErr w:type="spellEnd"/>
      <w:r w:rsidRPr="00F63A96">
        <w:rPr>
          <w:rFonts w:ascii="Verdana"/>
          <w:color w:val="000000" w:themeColor="text1"/>
          <w:sz w:val="16"/>
          <w:szCs w:val="16"/>
        </w:rPr>
        <w:t>. CISS n. 1461 del 15/01/2014), il quale prevede che l</w:t>
      </w:r>
      <w:r w:rsidRPr="00F63A96">
        <w:rPr>
          <w:rFonts w:hAnsi="Verdana"/>
          <w:color w:val="000000" w:themeColor="text1"/>
          <w:sz w:val="16"/>
          <w:szCs w:val="16"/>
        </w:rPr>
        <w:t>’</w:t>
      </w:r>
      <w:r w:rsidRPr="00F63A96">
        <w:rPr>
          <w:rFonts w:ascii="Verdana"/>
          <w:color w:val="000000" w:themeColor="text1"/>
          <w:sz w:val="16"/>
          <w:szCs w:val="16"/>
        </w:rPr>
        <w:t>importo dei canoni complessivi da versare da SOCIGESS S.p.A. al C.I.SS. sono comprensivi nell</w:t>
      </w:r>
      <w:r w:rsidRPr="00F63A96">
        <w:rPr>
          <w:rFonts w:hAnsi="Verdana"/>
          <w:color w:val="000000" w:themeColor="text1"/>
          <w:sz w:val="16"/>
          <w:szCs w:val="16"/>
        </w:rPr>
        <w:t>’</w:t>
      </w:r>
      <w:r w:rsidRPr="00F63A96">
        <w:rPr>
          <w:rFonts w:ascii="Verdana"/>
          <w:color w:val="000000" w:themeColor="text1"/>
          <w:sz w:val="16"/>
          <w:szCs w:val="16"/>
        </w:rPr>
        <w:t>anno di competenza del dividendo che distribuir</w:t>
      </w:r>
      <w:r w:rsidRPr="00F63A96">
        <w:rPr>
          <w:rFonts w:hAnsi="Verdana"/>
          <w:color w:val="000000" w:themeColor="text1"/>
          <w:sz w:val="16"/>
          <w:szCs w:val="16"/>
        </w:rPr>
        <w:t>à</w:t>
      </w:r>
      <w:r w:rsidRPr="00F63A96">
        <w:rPr>
          <w:rFonts w:hAnsi="Verdana"/>
          <w:color w:val="000000" w:themeColor="text1"/>
          <w:sz w:val="16"/>
          <w:szCs w:val="16"/>
        </w:rPr>
        <w:t xml:space="preserve"> </w:t>
      </w:r>
      <w:r w:rsidR="003B4079">
        <w:rPr>
          <w:rFonts w:ascii="Verdana"/>
          <w:color w:val="000000" w:themeColor="text1"/>
          <w:sz w:val="16"/>
          <w:szCs w:val="16"/>
        </w:rPr>
        <w:t>INCOFARMA</w:t>
      </w:r>
      <w:r w:rsidRPr="00F63A96">
        <w:rPr>
          <w:rFonts w:ascii="Verdana"/>
          <w:color w:val="000000" w:themeColor="text1"/>
          <w:sz w:val="16"/>
          <w:szCs w:val="16"/>
        </w:rPr>
        <w:t xml:space="preserve"> S.p.A. al C.I.SS.</w:t>
      </w:r>
    </w:p>
    <w:p w:rsidR="00264DCB" w:rsidRPr="00F63A96" w:rsidRDefault="000E7F3D" w:rsidP="00863829">
      <w:pPr>
        <w:shd w:val="clear" w:color="auto" w:fill="FEFFFF"/>
        <w:spacing w:line="360" w:lineRule="auto"/>
        <w:ind w:firstLine="354"/>
        <w:jc w:val="both"/>
        <w:rPr>
          <w:rFonts w:ascii="Verdana" w:eastAsia="Verdana" w:hAnsi="Verdana" w:cs="Verdana"/>
          <w:color w:val="000000" w:themeColor="text1"/>
          <w:sz w:val="16"/>
          <w:szCs w:val="16"/>
        </w:rPr>
      </w:pPr>
      <w:r w:rsidRPr="00F63A96">
        <w:rPr>
          <w:rFonts w:ascii="Verdana"/>
          <w:color w:val="000000" w:themeColor="text1"/>
          <w:sz w:val="16"/>
          <w:szCs w:val="16"/>
        </w:rPr>
        <w:t xml:space="preserve">** lodo arbitrale tra </w:t>
      </w:r>
      <w:r w:rsidR="003B4079">
        <w:rPr>
          <w:rFonts w:ascii="Verdana"/>
          <w:color w:val="000000" w:themeColor="text1"/>
          <w:sz w:val="16"/>
          <w:szCs w:val="16"/>
        </w:rPr>
        <w:t>SOCIGESS</w:t>
      </w:r>
      <w:r w:rsidR="003B4079" w:rsidRPr="00F63A96">
        <w:rPr>
          <w:rFonts w:ascii="Verdana"/>
          <w:color w:val="000000" w:themeColor="text1"/>
          <w:sz w:val="16"/>
          <w:szCs w:val="16"/>
        </w:rPr>
        <w:t xml:space="preserve"> </w:t>
      </w:r>
      <w:r w:rsidRPr="00F63A96">
        <w:rPr>
          <w:rFonts w:ascii="Verdana"/>
          <w:color w:val="000000" w:themeColor="text1"/>
          <w:sz w:val="16"/>
          <w:szCs w:val="16"/>
        </w:rPr>
        <w:t xml:space="preserve">S.p.A. e </w:t>
      </w:r>
      <w:r w:rsidR="003B4079">
        <w:rPr>
          <w:rFonts w:ascii="Verdana"/>
          <w:color w:val="000000" w:themeColor="text1"/>
          <w:sz w:val="16"/>
          <w:szCs w:val="16"/>
        </w:rPr>
        <w:t>CISS</w:t>
      </w:r>
      <w:r w:rsidRPr="00F63A96">
        <w:rPr>
          <w:rFonts w:ascii="Verdana"/>
          <w:color w:val="000000" w:themeColor="text1"/>
          <w:sz w:val="16"/>
          <w:szCs w:val="16"/>
        </w:rPr>
        <w:t xml:space="preserve"> (cfr. capitolo </w:t>
      </w:r>
      <w:r w:rsidRPr="00F63A96">
        <w:rPr>
          <w:rFonts w:hAnsi="Verdana"/>
          <w:color w:val="000000" w:themeColor="text1"/>
          <w:sz w:val="16"/>
          <w:szCs w:val="16"/>
        </w:rPr>
        <w:t>“</w:t>
      </w:r>
      <w:r w:rsidRPr="00F63A96">
        <w:rPr>
          <w:rFonts w:ascii="Verdana"/>
          <w:color w:val="000000" w:themeColor="text1"/>
          <w:sz w:val="16"/>
          <w:szCs w:val="16"/>
        </w:rPr>
        <w:t xml:space="preserve">Lodo Arbitrale tra Consorzio </w:t>
      </w:r>
      <w:r w:rsidR="003B4079">
        <w:rPr>
          <w:rFonts w:ascii="Verdana"/>
          <w:color w:val="000000" w:themeColor="text1"/>
          <w:sz w:val="16"/>
          <w:szCs w:val="16"/>
        </w:rPr>
        <w:t>CISS</w:t>
      </w:r>
      <w:r w:rsidRPr="00F63A96">
        <w:rPr>
          <w:rFonts w:ascii="Verdana"/>
          <w:color w:val="000000" w:themeColor="text1"/>
          <w:sz w:val="16"/>
          <w:szCs w:val="16"/>
        </w:rPr>
        <w:t xml:space="preserve"> e </w:t>
      </w:r>
      <w:r w:rsidR="003B4079">
        <w:rPr>
          <w:rFonts w:ascii="Verdana"/>
          <w:color w:val="000000" w:themeColor="text1"/>
          <w:sz w:val="16"/>
          <w:szCs w:val="16"/>
        </w:rPr>
        <w:t>SOCIGESS</w:t>
      </w:r>
      <w:r w:rsidR="003B4079" w:rsidRPr="00F63A96">
        <w:rPr>
          <w:rFonts w:ascii="Verdana"/>
          <w:color w:val="000000" w:themeColor="text1"/>
          <w:sz w:val="16"/>
          <w:szCs w:val="16"/>
        </w:rPr>
        <w:t xml:space="preserve"> </w:t>
      </w:r>
      <w:r w:rsidRPr="00F63A96">
        <w:rPr>
          <w:rFonts w:ascii="Verdana"/>
          <w:color w:val="000000" w:themeColor="text1"/>
          <w:sz w:val="16"/>
          <w:szCs w:val="16"/>
        </w:rPr>
        <w:t>S.p.A.)</w:t>
      </w:r>
    </w:p>
    <w:p w:rsidR="00264DCB" w:rsidRPr="00F63A96" w:rsidRDefault="00264DCB" w:rsidP="00863829">
      <w:pPr>
        <w:shd w:val="clear" w:color="auto" w:fill="FEFFFF"/>
        <w:spacing w:line="360" w:lineRule="auto"/>
        <w:ind w:firstLine="354"/>
        <w:jc w:val="both"/>
        <w:rPr>
          <w:rFonts w:ascii="Verdana" w:eastAsia="Verdana" w:hAnsi="Verdana" w:cs="Verdana"/>
          <w:color w:val="000000" w:themeColor="text1"/>
          <w:sz w:val="16"/>
          <w:szCs w:val="16"/>
        </w:rPr>
      </w:pPr>
    </w:p>
    <w:p w:rsidR="00264DCB" w:rsidRPr="00A45056" w:rsidRDefault="00C02F75" w:rsidP="00863829">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color w:val="000000" w:themeColor="text1"/>
          <w:sz w:val="20"/>
          <w:szCs w:val="20"/>
        </w:rPr>
        <w:t>La rassegna dei dati e delle informazioni sopra riportati consente di rilevare, in punto di fatto e dal punto di vista esclusivamente gestionale, quanto segue:</w:t>
      </w:r>
    </w:p>
    <w:p w:rsidR="00264DCB" w:rsidRPr="00A45056" w:rsidRDefault="000E7F3D">
      <w:pPr>
        <w:numPr>
          <w:ilvl w:val="0"/>
          <w:numId w:val="28"/>
        </w:numPr>
        <w:shd w:val="clear" w:color="auto" w:fill="FEFFFF"/>
        <w:tabs>
          <w:tab w:val="clear" w:pos="218"/>
          <w:tab w:val="num" w:pos="616"/>
        </w:tabs>
        <w:spacing w:line="360" w:lineRule="auto"/>
        <w:ind w:left="262" w:firstLine="92"/>
        <w:jc w:val="both"/>
        <w:rPr>
          <w:rFonts w:ascii="Verdana" w:eastAsia="Verdana" w:hAnsi="Verdana" w:cs="Verdana"/>
          <w:color w:val="000000" w:themeColor="text1"/>
          <w:position w:val="4"/>
          <w:sz w:val="20"/>
          <w:szCs w:val="20"/>
          <w:u w:val="single"/>
        </w:rPr>
      </w:pPr>
      <w:proofErr w:type="gramStart"/>
      <w:r w:rsidRPr="00A45056">
        <w:rPr>
          <w:rFonts w:ascii="Verdana"/>
          <w:color w:val="000000" w:themeColor="text1"/>
          <w:sz w:val="20"/>
          <w:szCs w:val="20"/>
        </w:rPr>
        <w:t>n</w:t>
      </w:r>
      <w:r w:rsidRPr="00A45056">
        <w:rPr>
          <w:rFonts w:ascii="Verdana"/>
          <w:color w:val="000000" w:themeColor="text1"/>
          <w:sz w:val="20"/>
          <w:szCs w:val="20"/>
          <w:u w:val="single"/>
        </w:rPr>
        <w:t>essuna</w:t>
      </w:r>
      <w:proofErr w:type="gramEnd"/>
      <w:r w:rsidRPr="00A45056">
        <w:rPr>
          <w:rFonts w:ascii="Verdana"/>
          <w:color w:val="000000" w:themeColor="text1"/>
          <w:sz w:val="20"/>
          <w:szCs w:val="20"/>
          <w:u w:val="single"/>
        </w:rPr>
        <w:t xml:space="preserve"> spiegazione </w:t>
      </w:r>
      <w:r w:rsidRPr="00A45056">
        <w:rPr>
          <w:rFonts w:hAnsi="Verdana"/>
          <w:color w:val="000000" w:themeColor="text1"/>
          <w:sz w:val="20"/>
          <w:szCs w:val="20"/>
          <w:u w:val="single"/>
        </w:rPr>
        <w:t>è</w:t>
      </w:r>
      <w:r w:rsidRPr="00A45056">
        <w:rPr>
          <w:rFonts w:hAnsi="Verdana"/>
          <w:color w:val="000000" w:themeColor="text1"/>
          <w:sz w:val="20"/>
          <w:szCs w:val="20"/>
          <w:u w:val="single"/>
        </w:rPr>
        <w:t xml:space="preserve"> </w:t>
      </w:r>
      <w:r w:rsidRPr="00A45056">
        <w:rPr>
          <w:rFonts w:ascii="Verdana"/>
          <w:color w:val="000000" w:themeColor="text1"/>
          <w:sz w:val="20"/>
          <w:szCs w:val="20"/>
          <w:u w:val="single"/>
        </w:rPr>
        <w:t xml:space="preserve">stata </w:t>
      </w:r>
      <w:r w:rsidR="001A030C" w:rsidRPr="00A45056">
        <w:rPr>
          <w:rFonts w:ascii="Verdana"/>
          <w:color w:val="000000" w:themeColor="text1"/>
          <w:sz w:val="20"/>
          <w:szCs w:val="20"/>
          <w:u w:val="single"/>
        </w:rPr>
        <w:t>fornita</w:t>
      </w:r>
      <w:r w:rsidRPr="00A45056">
        <w:rPr>
          <w:rFonts w:ascii="Verdana"/>
          <w:color w:val="000000" w:themeColor="text1"/>
          <w:sz w:val="20"/>
          <w:szCs w:val="20"/>
          <w:u w:val="single"/>
        </w:rPr>
        <w:t xml:space="preserve"> sulla mancata percezione della differenza ancora dovuta a valle del lodo arbitrale</w:t>
      </w:r>
      <w:r w:rsidR="00F25AF2" w:rsidRPr="00A45056">
        <w:rPr>
          <w:rFonts w:ascii="Verdana"/>
          <w:color w:val="000000" w:themeColor="text1"/>
          <w:sz w:val="20"/>
          <w:szCs w:val="20"/>
          <w:u w:val="single"/>
        </w:rPr>
        <w:t xml:space="preserve"> (circa 29 mila </w:t>
      </w:r>
      <w:r w:rsidR="00B14701" w:rsidRPr="00A45056">
        <w:rPr>
          <w:rFonts w:ascii="Verdana"/>
          <w:color w:val="000000" w:themeColor="text1"/>
          <w:sz w:val="20"/>
          <w:szCs w:val="20"/>
          <w:u w:val="single"/>
        </w:rPr>
        <w:t>euro)</w:t>
      </w:r>
      <w:r w:rsidRPr="00A45056">
        <w:rPr>
          <w:rFonts w:ascii="Verdana"/>
          <w:color w:val="000000" w:themeColor="text1"/>
          <w:sz w:val="20"/>
          <w:szCs w:val="20"/>
          <w:u w:val="single"/>
        </w:rPr>
        <w:t>;</w:t>
      </w:r>
    </w:p>
    <w:p w:rsidR="00264DCB" w:rsidRPr="00A45056" w:rsidRDefault="000E7F3D" w:rsidP="005D0727">
      <w:pPr>
        <w:numPr>
          <w:ilvl w:val="0"/>
          <w:numId w:val="29"/>
        </w:numPr>
        <w:shd w:val="clear" w:color="auto" w:fill="FEFFFF"/>
        <w:tabs>
          <w:tab w:val="clear" w:pos="218"/>
          <w:tab w:val="num" w:pos="616"/>
        </w:tabs>
        <w:spacing w:line="360" w:lineRule="auto"/>
        <w:ind w:left="262" w:firstLine="92"/>
        <w:jc w:val="both"/>
        <w:rPr>
          <w:rFonts w:ascii="Verdana" w:eastAsia="Verdana" w:hAnsi="Verdana" w:cs="Verdana"/>
          <w:color w:val="000000" w:themeColor="text1"/>
          <w:position w:val="4"/>
          <w:sz w:val="20"/>
          <w:szCs w:val="20"/>
        </w:rPr>
      </w:pPr>
      <w:proofErr w:type="gramStart"/>
      <w:r w:rsidRPr="00A45056">
        <w:rPr>
          <w:rFonts w:ascii="Verdana"/>
          <w:color w:val="000000" w:themeColor="text1"/>
          <w:sz w:val="20"/>
          <w:szCs w:val="20"/>
          <w:u w:val="single"/>
        </w:rPr>
        <w:t>nessuna</w:t>
      </w:r>
      <w:proofErr w:type="gramEnd"/>
      <w:r w:rsidRPr="00A45056">
        <w:rPr>
          <w:rFonts w:ascii="Verdana"/>
          <w:color w:val="000000" w:themeColor="text1"/>
          <w:sz w:val="20"/>
          <w:szCs w:val="20"/>
          <w:u w:val="single"/>
        </w:rPr>
        <w:t xml:space="preserve"> spiegazione </w:t>
      </w:r>
      <w:r w:rsidRPr="00A45056">
        <w:rPr>
          <w:rFonts w:hAnsi="Verdana"/>
          <w:color w:val="000000" w:themeColor="text1"/>
          <w:sz w:val="20"/>
          <w:szCs w:val="20"/>
          <w:u w:val="single"/>
        </w:rPr>
        <w:t>è</w:t>
      </w:r>
      <w:r w:rsidRPr="00A45056">
        <w:rPr>
          <w:rFonts w:hAnsi="Verdana"/>
          <w:color w:val="000000" w:themeColor="text1"/>
          <w:sz w:val="20"/>
          <w:szCs w:val="20"/>
          <w:u w:val="single"/>
        </w:rPr>
        <w:t xml:space="preserve"> </w:t>
      </w:r>
      <w:r w:rsidR="001A030C" w:rsidRPr="00A45056">
        <w:rPr>
          <w:rFonts w:ascii="Verdana"/>
          <w:color w:val="000000" w:themeColor="text1"/>
          <w:sz w:val="20"/>
          <w:szCs w:val="20"/>
          <w:u w:val="single"/>
        </w:rPr>
        <w:t>resa</w:t>
      </w:r>
      <w:r w:rsidRPr="00A45056">
        <w:rPr>
          <w:rFonts w:ascii="Verdana"/>
          <w:color w:val="000000" w:themeColor="text1"/>
          <w:sz w:val="20"/>
          <w:szCs w:val="20"/>
          <w:u w:val="single"/>
        </w:rPr>
        <w:t xml:space="preserve"> sui ritardi nel cash flow dal socio privato </w:t>
      </w:r>
      <w:r w:rsidR="000B50C3" w:rsidRPr="00A45056">
        <w:rPr>
          <w:color w:val="000000" w:themeColor="text1"/>
          <w:sz w:val="20"/>
          <w:szCs w:val="20"/>
        </w:rPr>
        <w:t>(</w:t>
      </w:r>
      <w:r w:rsidRPr="00A45056">
        <w:rPr>
          <w:rFonts w:ascii="Verdana"/>
          <w:color w:val="000000" w:themeColor="text1"/>
          <w:sz w:val="20"/>
          <w:szCs w:val="20"/>
          <w:u w:val="single"/>
        </w:rPr>
        <w:t>cfr. comunicazione del DG al C</w:t>
      </w:r>
      <w:r w:rsidR="001A030C" w:rsidRPr="00A45056">
        <w:rPr>
          <w:rFonts w:ascii="Verdana"/>
          <w:color w:val="000000" w:themeColor="text1"/>
          <w:sz w:val="20"/>
          <w:szCs w:val="20"/>
          <w:u w:val="single"/>
        </w:rPr>
        <w:t>.</w:t>
      </w:r>
      <w:r w:rsidRPr="00A45056">
        <w:rPr>
          <w:rFonts w:ascii="Verdana"/>
          <w:color w:val="000000" w:themeColor="text1"/>
          <w:sz w:val="20"/>
          <w:szCs w:val="20"/>
          <w:u w:val="single"/>
        </w:rPr>
        <w:t>d</w:t>
      </w:r>
      <w:r w:rsidR="001A030C" w:rsidRPr="00A45056">
        <w:rPr>
          <w:rFonts w:ascii="Verdana"/>
          <w:color w:val="000000" w:themeColor="text1"/>
          <w:sz w:val="20"/>
          <w:szCs w:val="20"/>
          <w:u w:val="single"/>
        </w:rPr>
        <w:t>.</w:t>
      </w:r>
      <w:r w:rsidRPr="00A45056">
        <w:rPr>
          <w:rFonts w:ascii="Verdana"/>
          <w:color w:val="000000" w:themeColor="text1"/>
          <w:sz w:val="20"/>
          <w:szCs w:val="20"/>
          <w:u w:val="single"/>
        </w:rPr>
        <w:t>A</w:t>
      </w:r>
      <w:r w:rsidR="001A030C" w:rsidRPr="00A45056">
        <w:rPr>
          <w:rFonts w:ascii="Verdana"/>
          <w:color w:val="000000" w:themeColor="text1"/>
          <w:sz w:val="20"/>
          <w:szCs w:val="20"/>
          <w:u w:val="single"/>
        </w:rPr>
        <w:t>.</w:t>
      </w:r>
      <w:r w:rsidRPr="00A45056">
        <w:rPr>
          <w:rFonts w:ascii="Verdana"/>
          <w:color w:val="000000" w:themeColor="text1"/>
          <w:sz w:val="20"/>
          <w:szCs w:val="20"/>
          <w:u w:val="single"/>
        </w:rPr>
        <w:t xml:space="preserve"> CISS</w:t>
      </w:r>
      <w:r w:rsidR="000B50C3" w:rsidRPr="00A45056">
        <w:rPr>
          <w:rFonts w:ascii="Verdana"/>
          <w:color w:val="000000" w:themeColor="text1"/>
          <w:sz w:val="20"/>
          <w:szCs w:val="20"/>
          <w:u w:val="single"/>
        </w:rPr>
        <w:t>,</w:t>
      </w:r>
      <w:r w:rsidRPr="00A45056">
        <w:rPr>
          <w:color w:val="000000" w:themeColor="text1"/>
          <w:sz w:val="20"/>
          <w:szCs w:val="20"/>
        </w:rPr>
        <w:t xml:space="preserve"> </w:t>
      </w:r>
      <w:proofErr w:type="spellStart"/>
      <w:r w:rsidRPr="00A45056">
        <w:rPr>
          <w:rFonts w:ascii="Verdana"/>
          <w:color w:val="000000" w:themeColor="text1"/>
          <w:sz w:val="20"/>
          <w:szCs w:val="20"/>
          <w:u w:val="single"/>
        </w:rPr>
        <w:t>prot</w:t>
      </w:r>
      <w:proofErr w:type="spellEnd"/>
      <w:r w:rsidRPr="00A45056">
        <w:rPr>
          <w:rFonts w:ascii="Verdana"/>
          <w:color w:val="000000" w:themeColor="text1"/>
          <w:sz w:val="20"/>
          <w:szCs w:val="20"/>
          <w:u w:val="single"/>
        </w:rPr>
        <w:t>. 1033 del 12 gennaio 2012, in cui si legge di</w:t>
      </w:r>
      <w:r w:rsidRPr="00A45056">
        <w:rPr>
          <w:rFonts w:hAnsi="Verdana"/>
          <w:color w:val="000000" w:themeColor="text1"/>
          <w:sz w:val="20"/>
          <w:szCs w:val="20"/>
        </w:rPr>
        <w:t xml:space="preserve"> </w:t>
      </w:r>
      <w:r w:rsidRPr="00A45056">
        <w:rPr>
          <w:rFonts w:hAnsi="Verdana"/>
          <w:color w:val="000000" w:themeColor="text1"/>
          <w:sz w:val="20"/>
          <w:szCs w:val="20"/>
        </w:rPr>
        <w:t>«</w:t>
      </w:r>
      <w:r w:rsidRPr="00A45056">
        <w:rPr>
          <w:rFonts w:ascii="Verdana"/>
          <w:i/>
          <w:iCs/>
          <w:color w:val="000000" w:themeColor="text1"/>
          <w:sz w:val="20"/>
          <w:szCs w:val="20"/>
        </w:rPr>
        <w:t>difficolt</w:t>
      </w:r>
      <w:r w:rsidRPr="00A45056">
        <w:rPr>
          <w:rFonts w:hAnsi="Verdana"/>
          <w:i/>
          <w:iCs/>
          <w:color w:val="000000" w:themeColor="text1"/>
          <w:sz w:val="20"/>
          <w:szCs w:val="20"/>
        </w:rPr>
        <w:t>à</w:t>
      </w:r>
      <w:r w:rsidRPr="00A45056">
        <w:rPr>
          <w:rFonts w:hAnsi="Verdana"/>
          <w:i/>
          <w:iCs/>
          <w:color w:val="000000" w:themeColor="text1"/>
          <w:sz w:val="20"/>
          <w:szCs w:val="20"/>
        </w:rPr>
        <w:t xml:space="preserve"> </w:t>
      </w:r>
      <w:r w:rsidRPr="00A45056">
        <w:rPr>
          <w:rFonts w:ascii="Verdana"/>
          <w:i/>
          <w:iCs/>
          <w:color w:val="000000" w:themeColor="text1"/>
          <w:sz w:val="20"/>
          <w:szCs w:val="20"/>
        </w:rPr>
        <w:t>nella riscossione dei crediti vantati dal Consorzio CISS nei confronti della SOCIGESS S</w:t>
      </w:r>
      <w:r w:rsidR="001A030C" w:rsidRPr="00A45056">
        <w:rPr>
          <w:rFonts w:ascii="Verdana"/>
          <w:i/>
          <w:iCs/>
          <w:color w:val="000000" w:themeColor="text1"/>
          <w:sz w:val="20"/>
          <w:szCs w:val="20"/>
        </w:rPr>
        <w:t>.</w:t>
      </w:r>
      <w:r w:rsidRPr="00A45056">
        <w:rPr>
          <w:rFonts w:ascii="Verdana"/>
          <w:i/>
          <w:iCs/>
          <w:color w:val="000000" w:themeColor="text1"/>
          <w:sz w:val="20"/>
          <w:szCs w:val="20"/>
        </w:rPr>
        <w:t>p</w:t>
      </w:r>
      <w:r w:rsidR="001A030C" w:rsidRPr="00A45056">
        <w:rPr>
          <w:rFonts w:ascii="Verdana"/>
          <w:i/>
          <w:iCs/>
          <w:color w:val="000000" w:themeColor="text1"/>
          <w:sz w:val="20"/>
          <w:szCs w:val="20"/>
        </w:rPr>
        <w:t>.</w:t>
      </w:r>
      <w:r w:rsidRPr="00A45056">
        <w:rPr>
          <w:rFonts w:ascii="Verdana"/>
          <w:i/>
          <w:iCs/>
          <w:color w:val="000000" w:themeColor="text1"/>
          <w:sz w:val="20"/>
          <w:szCs w:val="20"/>
        </w:rPr>
        <w:t>A</w:t>
      </w:r>
      <w:r w:rsidR="001A030C" w:rsidRPr="00A45056">
        <w:rPr>
          <w:rFonts w:ascii="Verdana"/>
          <w:i/>
          <w:iCs/>
          <w:color w:val="000000" w:themeColor="text1"/>
          <w:sz w:val="20"/>
          <w:szCs w:val="20"/>
        </w:rPr>
        <w:t>.</w:t>
      </w:r>
      <w:r w:rsidRPr="00A45056">
        <w:rPr>
          <w:rFonts w:ascii="Verdana"/>
          <w:i/>
          <w:iCs/>
          <w:color w:val="000000" w:themeColor="text1"/>
          <w:sz w:val="20"/>
          <w:szCs w:val="20"/>
        </w:rPr>
        <w:t xml:space="preserve">, le quali sono sempre </w:t>
      </w:r>
      <w:r w:rsidR="000F2F92" w:rsidRPr="00A45056">
        <w:rPr>
          <w:rFonts w:ascii="Verdana"/>
          <w:i/>
          <w:iCs/>
          <w:color w:val="000000" w:themeColor="text1"/>
          <w:sz w:val="20"/>
          <w:szCs w:val="20"/>
        </w:rPr>
        <w:t xml:space="preserve">state </w:t>
      </w:r>
      <w:r w:rsidRPr="00A45056">
        <w:rPr>
          <w:rFonts w:ascii="Verdana"/>
          <w:i/>
          <w:iCs/>
          <w:color w:val="000000" w:themeColor="text1"/>
          <w:sz w:val="20"/>
          <w:szCs w:val="20"/>
        </w:rPr>
        <w:t>opportunamente evidenziate in sede di riunione di Assemblea e di C</w:t>
      </w:r>
      <w:r w:rsidR="001A030C" w:rsidRPr="00A45056">
        <w:rPr>
          <w:rFonts w:ascii="Verdana"/>
          <w:i/>
          <w:iCs/>
          <w:color w:val="000000" w:themeColor="text1"/>
          <w:sz w:val="20"/>
          <w:szCs w:val="20"/>
        </w:rPr>
        <w:t>.</w:t>
      </w:r>
      <w:r w:rsidRPr="00A45056">
        <w:rPr>
          <w:rFonts w:ascii="Verdana"/>
          <w:i/>
          <w:iCs/>
          <w:color w:val="000000" w:themeColor="text1"/>
          <w:sz w:val="20"/>
          <w:szCs w:val="20"/>
        </w:rPr>
        <w:t>d</w:t>
      </w:r>
      <w:r w:rsidR="001A030C" w:rsidRPr="00A45056">
        <w:rPr>
          <w:rFonts w:ascii="Verdana"/>
          <w:i/>
          <w:iCs/>
          <w:color w:val="000000" w:themeColor="text1"/>
          <w:sz w:val="20"/>
          <w:szCs w:val="20"/>
        </w:rPr>
        <w:t>.</w:t>
      </w:r>
      <w:r w:rsidRPr="00A45056">
        <w:rPr>
          <w:rFonts w:ascii="Verdana"/>
          <w:i/>
          <w:iCs/>
          <w:color w:val="000000" w:themeColor="text1"/>
          <w:sz w:val="20"/>
          <w:szCs w:val="20"/>
        </w:rPr>
        <w:t>A</w:t>
      </w:r>
      <w:r w:rsidR="001A030C" w:rsidRPr="00A45056">
        <w:rPr>
          <w:rFonts w:ascii="Verdana"/>
          <w:i/>
          <w:iCs/>
          <w:color w:val="000000" w:themeColor="text1"/>
          <w:sz w:val="20"/>
          <w:szCs w:val="20"/>
        </w:rPr>
        <w:t>.</w:t>
      </w:r>
      <w:r w:rsidRPr="00A45056">
        <w:rPr>
          <w:rFonts w:ascii="Verdana"/>
          <w:i/>
          <w:iCs/>
          <w:color w:val="000000" w:themeColor="text1"/>
          <w:sz w:val="20"/>
          <w:szCs w:val="20"/>
        </w:rPr>
        <w:t xml:space="preserve"> del CISS, ovvero nelle apposite relazioni sulla gestione per l'approvazione del bilancio, nonch</w:t>
      </w:r>
      <w:r w:rsidRPr="00A45056">
        <w:rPr>
          <w:rFonts w:hAnsi="Verdana"/>
          <w:i/>
          <w:iCs/>
          <w:color w:val="000000" w:themeColor="text1"/>
          <w:sz w:val="20"/>
          <w:szCs w:val="20"/>
        </w:rPr>
        <w:t>é</w:t>
      </w:r>
      <w:r w:rsidRPr="00A45056">
        <w:rPr>
          <w:rFonts w:hAnsi="Verdana"/>
          <w:i/>
          <w:iCs/>
          <w:color w:val="000000" w:themeColor="text1"/>
          <w:sz w:val="20"/>
          <w:szCs w:val="20"/>
        </w:rPr>
        <w:t xml:space="preserve"> </w:t>
      </w:r>
      <w:r w:rsidRPr="00A45056">
        <w:rPr>
          <w:rFonts w:ascii="Verdana"/>
          <w:i/>
          <w:iCs/>
          <w:color w:val="000000" w:themeColor="text1"/>
          <w:sz w:val="20"/>
          <w:szCs w:val="20"/>
        </w:rPr>
        <w:t>mediante i diversi solleciti inviati direttamente alla SOCIGESS S</w:t>
      </w:r>
      <w:r w:rsidR="001A030C" w:rsidRPr="00A45056">
        <w:rPr>
          <w:rFonts w:ascii="Verdana"/>
          <w:i/>
          <w:iCs/>
          <w:color w:val="000000" w:themeColor="text1"/>
          <w:sz w:val="20"/>
          <w:szCs w:val="20"/>
        </w:rPr>
        <w:t>.</w:t>
      </w:r>
      <w:r w:rsidRPr="00A45056">
        <w:rPr>
          <w:rFonts w:ascii="Verdana"/>
          <w:i/>
          <w:iCs/>
          <w:color w:val="000000" w:themeColor="text1"/>
          <w:sz w:val="20"/>
          <w:szCs w:val="20"/>
        </w:rPr>
        <w:t>p</w:t>
      </w:r>
      <w:r w:rsidR="001A030C" w:rsidRPr="00A45056">
        <w:rPr>
          <w:rFonts w:ascii="Verdana"/>
          <w:i/>
          <w:iCs/>
          <w:color w:val="000000" w:themeColor="text1"/>
          <w:sz w:val="20"/>
          <w:szCs w:val="20"/>
        </w:rPr>
        <w:t>.</w:t>
      </w:r>
      <w:r w:rsidRPr="00A45056">
        <w:rPr>
          <w:rFonts w:ascii="Verdana"/>
          <w:i/>
          <w:iCs/>
          <w:color w:val="000000" w:themeColor="text1"/>
          <w:sz w:val="20"/>
          <w:szCs w:val="20"/>
        </w:rPr>
        <w:t>A</w:t>
      </w:r>
      <w:r w:rsidR="001A030C" w:rsidRPr="00A45056">
        <w:rPr>
          <w:rFonts w:ascii="Verdana"/>
          <w:i/>
          <w:iCs/>
          <w:color w:val="000000" w:themeColor="text1"/>
          <w:sz w:val="20"/>
          <w:szCs w:val="20"/>
        </w:rPr>
        <w:t>.</w:t>
      </w:r>
      <w:r w:rsidRPr="00A45056">
        <w:rPr>
          <w:rFonts w:ascii="Verdana"/>
          <w:i/>
          <w:iCs/>
          <w:color w:val="000000" w:themeColor="text1"/>
          <w:sz w:val="20"/>
          <w:szCs w:val="20"/>
        </w:rPr>
        <w:t xml:space="preserve">, non ultimo quello del 11/02/2011 ns. </w:t>
      </w:r>
      <w:proofErr w:type="spellStart"/>
      <w:proofErr w:type="gramStart"/>
      <w:r w:rsidRPr="00A45056">
        <w:rPr>
          <w:rFonts w:ascii="Verdana"/>
          <w:i/>
          <w:iCs/>
          <w:color w:val="000000" w:themeColor="text1"/>
          <w:sz w:val="20"/>
          <w:szCs w:val="20"/>
        </w:rPr>
        <w:t>prot</w:t>
      </w:r>
      <w:proofErr w:type="spellEnd"/>
      <w:proofErr w:type="gramEnd"/>
      <w:r w:rsidRPr="00A45056">
        <w:rPr>
          <w:rFonts w:ascii="Verdana"/>
          <w:i/>
          <w:iCs/>
          <w:color w:val="000000" w:themeColor="text1"/>
          <w:sz w:val="20"/>
          <w:szCs w:val="20"/>
        </w:rPr>
        <w:t xml:space="preserve"> 774</w:t>
      </w:r>
      <w:r w:rsidRPr="00A45056">
        <w:rPr>
          <w:rFonts w:hAnsi="Verdana"/>
          <w:color w:val="000000" w:themeColor="text1"/>
          <w:sz w:val="20"/>
          <w:szCs w:val="20"/>
        </w:rPr>
        <w:t>»</w:t>
      </w:r>
      <w:r w:rsidRPr="00A45056">
        <w:rPr>
          <w:rFonts w:ascii="Verdana"/>
          <w:color w:val="000000" w:themeColor="text1"/>
          <w:sz w:val="20"/>
          <w:szCs w:val="20"/>
        </w:rPr>
        <w:t>)</w:t>
      </w:r>
      <w:r w:rsidR="009F125C" w:rsidRPr="00A45056">
        <w:rPr>
          <w:rFonts w:ascii="Verdana"/>
          <w:color w:val="000000" w:themeColor="text1"/>
          <w:sz w:val="20"/>
          <w:szCs w:val="20"/>
        </w:rPr>
        <w:t xml:space="preserve">. In proposto, nella relazione del CISS </w:t>
      </w:r>
      <w:proofErr w:type="spellStart"/>
      <w:r w:rsidR="00471F89" w:rsidRPr="00A45056">
        <w:rPr>
          <w:rFonts w:ascii="Verdana"/>
          <w:bCs/>
          <w:color w:val="000000" w:themeColor="text1"/>
          <w:sz w:val="20"/>
          <w:szCs w:val="20"/>
        </w:rPr>
        <w:t>prot</w:t>
      </w:r>
      <w:proofErr w:type="spellEnd"/>
      <w:r w:rsidR="00471F89" w:rsidRPr="00A45056">
        <w:rPr>
          <w:rFonts w:ascii="Verdana"/>
          <w:bCs/>
          <w:color w:val="000000" w:themeColor="text1"/>
          <w:sz w:val="20"/>
          <w:szCs w:val="20"/>
        </w:rPr>
        <w:t>. 2329 del 12/11/2015</w:t>
      </w:r>
      <w:r w:rsidR="00C8082B" w:rsidRPr="00A45056">
        <w:rPr>
          <w:rFonts w:ascii="Verdana"/>
          <w:bCs/>
          <w:color w:val="000000" w:themeColor="text1"/>
          <w:sz w:val="20"/>
          <w:szCs w:val="20"/>
        </w:rPr>
        <w:t xml:space="preserve">, </w:t>
      </w:r>
      <w:r w:rsidR="009F125C" w:rsidRPr="00A45056">
        <w:rPr>
          <w:rFonts w:ascii="Verdana"/>
          <w:color w:val="000000" w:themeColor="text1"/>
          <w:sz w:val="20"/>
          <w:szCs w:val="20"/>
        </w:rPr>
        <w:t>a valle dell</w:t>
      </w:r>
      <w:r w:rsidR="009F125C" w:rsidRPr="00A45056">
        <w:rPr>
          <w:rFonts w:ascii="Verdana"/>
          <w:color w:val="000000" w:themeColor="text1"/>
          <w:sz w:val="20"/>
          <w:szCs w:val="20"/>
        </w:rPr>
        <w:t>’</w:t>
      </w:r>
      <w:r w:rsidR="009F125C" w:rsidRPr="00A45056">
        <w:rPr>
          <w:rFonts w:ascii="Verdana"/>
          <w:color w:val="000000" w:themeColor="text1"/>
          <w:sz w:val="20"/>
          <w:szCs w:val="20"/>
        </w:rPr>
        <w:t>ordinanza collegiale n. 218/2015</w:t>
      </w:r>
      <w:r w:rsidR="00C8082B" w:rsidRPr="00A45056">
        <w:rPr>
          <w:rFonts w:ascii="Verdana"/>
          <w:color w:val="000000" w:themeColor="text1"/>
          <w:sz w:val="20"/>
          <w:szCs w:val="20"/>
        </w:rPr>
        <w:t>, s</w:t>
      </w:r>
      <w:r w:rsidR="009F125C" w:rsidRPr="00A45056">
        <w:rPr>
          <w:rFonts w:ascii="Verdana"/>
          <w:color w:val="000000" w:themeColor="text1"/>
          <w:sz w:val="20"/>
          <w:szCs w:val="20"/>
        </w:rPr>
        <w:t xml:space="preserve">i legge: </w:t>
      </w:r>
      <w:r w:rsidR="009F125C" w:rsidRPr="00A45056">
        <w:rPr>
          <w:rFonts w:ascii="Verdana"/>
          <w:color w:val="000000" w:themeColor="text1"/>
          <w:sz w:val="20"/>
          <w:szCs w:val="20"/>
        </w:rPr>
        <w:t>«</w:t>
      </w:r>
      <w:r w:rsidR="009F125C" w:rsidRPr="00A45056">
        <w:rPr>
          <w:rFonts w:ascii="Verdana"/>
          <w:i/>
          <w:color w:val="000000" w:themeColor="text1"/>
          <w:sz w:val="20"/>
          <w:szCs w:val="20"/>
        </w:rPr>
        <w:t>detti ritardi, desunti da comunicazioni del DG del CISS, non causano danno al Consorzio in quanto al momento in cui i pagamenti vengono effettuati sono calcolati anche gli interessi moratori sul ritardato pagamento (al tasso debitore dell'8% circa), che ristorano l'Ente dal ritardo patito</w:t>
      </w:r>
      <w:r w:rsidR="009F125C" w:rsidRPr="00A45056">
        <w:rPr>
          <w:rFonts w:ascii="Verdana"/>
          <w:color w:val="000000" w:themeColor="text1"/>
          <w:sz w:val="20"/>
          <w:szCs w:val="20"/>
        </w:rPr>
        <w:t>»</w:t>
      </w:r>
      <w:r w:rsidRPr="00A45056">
        <w:rPr>
          <w:rFonts w:ascii="Verdana"/>
          <w:color w:val="000000" w:themeColor="text1"/>
          <w:sz w:val="20"/>
          <w:szCs w:val="20"/>
        </w:rPr>
        <w:t xml:space="preserve">; </w:t>
      </w:r>
    </w:p>
    <w:p w:rsidR="00420BF0" w:rsidRPr="00A45056" w:rsidRDefault="000E7F3D">
      <w:pPr>
        <w:numPr>
          <w:ilvl w:val="0"/>
          <w:numId w:val="30"/>
        </w:numPr>
        <w:shd w:val="clear" w:color="auto" w:fill="FEFFFF"/>
        <w:tabs>
          <w:tab w:val="clear" w:pos="218"/>
          <w:tab w:val="num" w:pos="616"/>
        </w:tabs>
        <w:spacing w:line="360" w:lineRule="auto"/>
        <w:ind w:left="262" w:firstLine="92"/>
        <w:jc w:val="both"/>
        <w:rPr>
          <w:rFonts w:ascii="Verdana" w:eastAsia="Verdana" w:hAnsi="Verdana" w:cs="Verdana"/>
          <w:color w:val="000000" w:themeColor="text1"/>
          <w:position w:val="4"/>
          <w:sz w:val="20"/>
          <w:szCs w:val="20"/>
        </w:rPr>
      </w:pPr>
      <w:proofErr w:type="gramStart"/>
      <w:r w:rsidRPr="00A45056">
        <w:rPr>
          <w:rFonts w:ascii="Verdana"/>
          <w:color w:val="000000" w:themeColor="text1"/>
          <w:sz w:val="20"/>
          <w:szCs w:val="20"/>
          <w:u w:val="single"/>
        </w:rPr>
        <w:t>la</w:t>
      </w:r>
      <w:proofErr w:type="gramEnd"/>
      <w:r w:rsidRPr="00A45056">
        <w:rPr>
          <w:rFonts w:ascii="Verdana"/>
          <w:color w:val="000000" w:themeColor="text1"/>
          <w:sz w:val="20"/>
          <w:szCs w:val="20"/>
          <w:u w:val="single"/>
        </w:rPr>
        <w:t xml:space="preserve"> revisione della struttura economica dei corrispettivi </w:t>
      </w:r>
      <w:r w:rsidRPr="00A45056">
        <w:rPr>
          <w:rFonts w:hAnsi="Verdana"/>
          <w:color w:val="000000" w:themeColor="text1"/>
          <w:sz w:val="20"/>
          <w:szCs w:val="20"/>
          <w:u w:val="single"/>
        </w:rPr>
        <w:t>è</w:t>
      </w:r>
      <w:r w:rsidRPr="00A45056">
        <w:rPr>
          <w:rFonts w:hAnsi="Verdana"/>
          <w:color w:val="000000" w:themeColor="text1"/>
          <w:sz w:val="20"/>
          <w:szCs w:val="20"/>
          <w:u w:val="single"/>
        </w:rPr>
        <w:t xml:space="preserve"> </w:t>
      </w:r>
      <w:r w:rsidRPr="00A45056">
        <w:rPr>
          <w:rFonts w:ascii="Verdana"/>
          <w:color w:val="000000" w:themeColor="text1"/>
          <w:sz w:val="20"/>
          <w:szCs w:val="20"/>
          <w:u w:val="single"/>
        </w:rPr>
        <w:t xml:space="preserve">di fatto intervenuta in coincidenza con </w:t>
      </w:r>
      <w:r w:rsidR="000F2F92" w:rsidRPr="00A45056">
        <w:rPr>
          <w:rFonts w:ascii="Verdana"/>
          <w:color w:val="000000" w:themeColor="text1"/>
          <w:sz w:val="20"/>
          <w:szCs w:val="20"/>
          <w:u w:val="single"/>
        </w:rPr>
        <w:t>l</w:t>
      </w:r>
      <w:r w:rsidR="000F2F92" w:rsidRPr="00A45056">
        <w:rPr>
          <w:rFonts w:ascii="Verdana"/>
          <w:color w:val="000000" w:themeColor="text1"/>
          <w:sz w:val="20"/>
          <w:szCs w:val="20"/>
          <w:u w:val="single"/>
        </w:rPr>
        <w:t>’</w:t>
      </w:r>
      <w:r w:rsidR="00F04B9C" w:rsidRPr="00A45056">
        <w:rPr>
          <w:rFonts w:ascii="Verdana"/>
          <w:color w:val="000000" w:themeColor="text1"/>
          <w:sz w:val="20"/>
          <w:szCs w:val="20"/>
          <w:u w:val="single"/>
        </w:rPr>
        <w:t>apertura delle</w:t>
      </w:r>
      <w:r w:rsidR="000F2F92" w:rsidRPr="00A45056">
        <w:rPr>
          <w:rFonts w:ascii="Verdana"/>
          <w:color w:val="000000" w:themeColor="text1"/>
          <w:sz w:val="20"/>
          <w:szCs w:val="20"/>
          <w:u w:val="single"/>
        </w:rPr>
        <w:t xml:space="preserve"> 13 farmacie</w:t>
      </w:r>
      <w:r w:rsidR="00F04B9C" w:rsidRPr="00A45056">
        <w:rPr>
          <w:rFonts w:ascii="Verdana"/>
          <w:color w:val="000000" w:themeColor="text1"/>
          <w:sz w:val="20"/>
          <w:szCs w:val="20"/>
          <w:u w:val="single"/>
        </w:rPr>
        <w:t xml:space="preserve"> che avrebbe dovuto determinare, in base alla convenzione </w:t>
      </w:r>
      <w:r w:rsidR="00F04B9C" w:rsidRPr="00A45056">
        <w:rPr>
          <w:rFonts w:ascii="Verdana"/>
          <w:color w:val="000000" w:themeColor="text1"/>
          <w:sz w:val="20"/>
          <w:szCs w:val="20"/>
          <w:u w:val="single"/>
        </w:rPr>
        <w:lastRenderedPageBreak/>
        <w:t>2007,</w:t>
      </w:r>
      <w:r w:rsidR="000F2F92" w:rsidRPr="00A45056">
        <w:rPr>
          <w:rFonts w:ascii="Verdana"/>
          <w:color w:val="000000" w:themeColor="text1"/>
          <w:sz w:val="20"/>
          <w:szCs w:val="20"/>
          <w:u w:val="single"/>
        </w:rPr>
        <w:t xml:space="preserve"> </w:t>
      </w:r>
      <w:r w:rsidR="00F04B9C" w:rsidRPr="00A45056">
        <w:rPr>
          <w:rFonts w:ascii="Verdana"/>
          <w:color w:val="000000" w:themeColor="text1"/>
          <w:sz w:val="20"/>
          <w:szCs w:val="20"/>
          <w:u w:val="single"/>
        </w:rPr>
        <w:t>maggiori guadagni per il CISS</w:t>
      </w:r>
      <w:r w:rsidR="000B50C3" w:rsidRPr="00A45056">
        <w:rPr>
          <w:rFonts w:ascii="Verdana"/>
          <w:color w:val="000000" w:themeColor="text1"/>
          <w:sz w:val="20"/>
          <w:szCs w:val="20"/>
          <w:u w:val="single"/>
        </w:rPr>
        <w:t>,</w:t>
      </w:r>
      <w:r w:rsidR="0068564B" w:rsidRPr="00A45056">
        <w:rPr>
          <w:rFonts w:ascii="Verdana"/>
          <w:color w:val="000000" w:themeColor="text1"/>
          <w:sz w:val="20"/>
          <w:szCs w:val="20"/>
        </w:rPr>
        <w:t xml:space="preserve"> che avrebbero dovuto finanziare i servizi sociali di assistenza da questo direttamente erogati</w:t>
      </w:r>
      <w:r w:rsidR="009C1E4F" w:rsidRPr="00A45056">
        <w:rPr>
          <w:rFonts w:ascii="Verdana"/>
          <w:color w:val="000000" w:themeColor="text1"/>
          <w:sz w:val="20"/>
          <w:szCs w:val="20"/>
        </w:rPr>
        <w:t xml:space="preserve">. Il CISS, </w:t>
      </w:r>
      <w:r w:rsidR="00C94B84" w:rsidRPr="00A45056">
        <w:rPr>
          <w:rFonts w:ascii="Verdana"/>
          <w:bCs/>
          <w:color w:val="000000" w:themeColor="text1"/>
          <w:sz w:val="20"/>
          <w:szCs w:val="20"/>
        </w:rPr>
        <w:t xml:space="preserve">con </w:t>
      </w:r>
      <w:r w:rsidR="000B50C3" w:rsidRPr="00A45056">
        <w:rPr>
          <w:rFonts w:ascii="Verdana"/>
          <w:bCs/>
          <w:color w:val="000000" w:themeColor="text1"/>
          <w:sz w:val="20"/>
          <w:szCs w:val="20"/>
        </w:rPr>
        <w:t xml:space="preserve">la citata </w:t>
      </w:r>
      <w:r w:rsidR="006B4289" w:rsidRPr="00A45056">
        <w:rPr>
          <w:rFonts w:ascii="Verdana"/>
          <w:bCs/>
          <w:color w:val="000000" w:themeColor="text1"/>
          <w:sz w:val="20"/>
          <w:szCs w:val="20"/>
        </w:rPr>
        <w:t xml:space="preserve">nota </w:t>
      </w:r>
      <w:proofErr w:type="spellStart"/>
      <w:r w:rsidR="00C94B84" w:rsidRPr="00A45056">
        <w:rPr>
          <w:rFonts w:ascii="Verdana"/>
          <w:bCs/>
          <w:color w:val="000000" w:themeColor="text1"/>
          <w:sz w:val="20"/>
          <w:szCs w:val="20"/>
        </w:rPr>
        <w:t>prot</w:t>
      </w:r>
      <w:proofErr w:type="spellEnd"/>
      <w:r w:rsidR="00C94B84" w:rsidRPr="00A45056">
        <w:rPr>
          <w:rFonts w:ascii="Verdana"/>
          <w:bCs/>
          <w:color w:val="000000" w:themeColor="text1"/>
          <w:sz w:val="20"/>
          <w:szCs w:val="20"/>
        </w:rPr>
        <w:t xml:space="preserve">. 2329 del 12/11/2015, ha riferito che la rinegoziazione </w:t>
      </w:r>
      <w:r w:rsidR="002313CC" w:rsidRPr="00A45056">
        <w:rPr>
          <w:rFonts w:ascii="Verdana"/>
          <w:bCs/>
          <w:color w:val="000000" w:themeColor="text1"/>
          <w:sz w:val="20"/>
          <w:szCs w:val="20"/>
        </w:rPr>
        <w:t xml:space="preserve">delle condizioni contrattuali </w:t>
      </w:r>
      <w:r w:rsidR="000B50C3" w:rsidRPr="00A45056">
        <w:rPr>
          <w:rFonts w:ascii="Verdana"/>
          <w:bCs/>
          <w:color w:val="000000" w:themeColor="text1"/>
          <w:sz w:val="20"/>
          <w:szCs w:val="20"/>
        </w:rPr>
        <w:t>è</w:t>
      </w:r>
      <w:r w:rsidR="000B50C3" w:rsidRPr="00A45056">
        <w:rPr>
          <w:rFonts w:ascii="Verdana"/>
          <w:bCs/>
          <w:color w:val="000000" w:themeColor="text1"/>
          <w:sz w:val="20"/>
          <w:szCs w:val="20"/>
        </w:rPr>
        <w:t xml:space="preserve"> dovuta alle</w:t>
      </w:r>
      <w:r w:rsidR="002313CC" w:rsidRPr="00A45056">
        <w:rPr>
          <w:rFonts w:ascii="Verdana"/>
          <w:bCs/>
          <w:color w:val="000000" w:themeColor="text1"/>
          <w:sz w:val="20"/>
          <w:szCs w:val="20"/>
        </w:rPr>
        <w:t xml:space="preserve"> </w:t>
      </w:r>
      <w:r w:rsidR="004C6501" w:rsidRPr="00A45056">
        <w:rPr>
          <w:rFonts w:ascii="Verdana"/>
          <w:bCs/>
          <w:color w:val="000000" w:themeColor="text1"/>
          <w:sz w:val="20"/>
          <w:szCs w:val="20"/>
        </w:rPr>
        <w:t>sopravvenienze</w:t>
      </w:r>
      <w:r w:rsidR="002313CC" w:rsidRPr="00A45056">
        <w:rPr>
          <w:rFonts w:ascii="Verdana"/>
          <w:bCs/>
          <w:color w:val="000000" w:themeColor="text1"/>
          <w:sz w:val="20"/>
          <w:szCs w:val="20"/>
        </w:rPr>
        <w:t xml:space="preserve"> che hanno mutato il quadro di mercato</w:t>
      </w:r>
      <w:r w:rsidR="00C94B84" w:rsidRPr="00A45056">
        <w:rPr>
          <w:rFonts w:ascii="Verdana"/>
          <w:bCs/>
          <w:color w:val="000000" w:themeColor="text1"/>
          <w:sz w:val="20"/>
          <w:szCs w:val="20"/>
        </w:rPr>
        <w:t>,</w:t>
      </w:r>
      <w:r w:rsidR="002313CC" w:rsidRPr="00A45056">
        <w:rPr>
          <w:rFonts w:ascii="Verdana"/>
          <w:bCs/>
          <w:color w:val="000000" w:themeColor="text1"/>
          <w:sz w:val="20"/>
          <w:szCs w:val="20"/>
        </w:rPr>
        <w:t xml:space="preserve"> nonch</w:t>
      </w:r>
      <w:r w:rsidR="002313CC" w:rsidRPr="00A45056">
        <w:rPr>
          <w:rFonts w:ascii="Verdana"/>
          <w:bCs/>
          <w:color w:val="000000" w:themeColor="text1"/>
          <w:sz w:val="20"/>
          <w:szCs w:val="20"/>
        </w:rPr>
        <w:t>é</w:t>
      </w:r>
      <w:r w:rsidR="00C94B84" w:rsidRPr="00A45056">
        <w:rPr>
          <w:rFonts w:ascii="Verdana"/>
          <w:bCs/>
          <w:color w:val="000000" w:themeColor="text1"/>
          <w:sz w:val="20"/>
          <w:szCs w:val="20"/>
        </w:rPr>
        <w:t xml:space="preserve"> </w:t>
      </w:r>
      <w:r w:rsidR="004629AC" w:rsidRPr="00A45056">
        <w:rPr>
          <w:rFonts w:ascii="Verdana"/>
          <w:bCs/>
          <w:color w:val="000000" w:themeColor="text1"/>
          <w:sz w:val="20"/>
          <w:szCs w:val="20"/>
        </w:rPr>
        <w:t xml:space="preserve">in </w:t>
      </w:r>
      <w:r w:rsidR="004C6501" w:rsidRPr="00A45056">
        <w:rPr>
          <w:rFonts w:ascii="Verdana"/>
          <w:bCs/>
          <w:color w:val="000000" w:themeColor="text1"/>
          <w:sz w:val="20"/>
          <w:szCs w:val="20"/>
        </w:rPr>
        <w:t>considerazione</w:t>
      </w:r>
      <w:r w:rsidR="002313CC" w:rsidRPr="00A45056">
        <w:rPr>
          <w:rFonts w:ascii="Verdana"/>
          <w:bCs/>
          <w:color w:val="000000" w:themeColor="text1"/>
          <w:sz w:val="20"/>
          <w:szCs w:val="20"/>
        </w:rPr>
        <w:t xml:space="preserve"> </w:t>
      </w:r>
      <w:r w:rsidR="004629AC" w:rsidRPr="00A45056">
        <w:rPr>
          <w:rFonts w:ascii="Verdana"/>
          <w:bCs/>
          <w:color w:val="000000" w:themeColor="text1"/>
          <w:sz w:val="20"/>
          <w:szCs w:val="20"/>
        </w:rPr>
        <w:t xml:space="preserve">del fatto che la Convenzione doveva garantire dei margini al CISS nonostante </w:t>
      </w:r>
      <w:r w:rsidR="00420BF0" w:rsidRPr="00A45056">
        <w:rPr>
          <w:rFonts w:ascii="Verdana"/>
          <w:bCs/>
          <w:color w:val="000000" w:themeColor="text1"/>
          <w:sz w:val="20"/>
          <w:szCs w:val="20"/>
        </w:rPr>
        <w:t xml:space="preserve">i </w:t>
      </w:r>
      <w:r w:rsidR="002313CC" w:rsidRPr="00A45056">
        <w:rPr>
          <w:rFonts w:ascii="Verdana"/>
          <w:bCs/>
          <w:color w:val="000000" w:themeColor="text1"/>
          <w:sz w:val="20"/>
          <w:szCs w:val="20"/>
        </w:rPr>
        <w:t>rischi</w:t>
      </w:r>
      <w:r w:rsidR="00420BF0" w:rsidRPr="00A45056">
        <w:rPr>
          <w:rFonts w:ascii="Verdana"/>
          <w:bCs/>
          <w:color w:val="000000" w:themeColor="text1"/>
          <w:sz w:val="20"/>
          <w:szCs w:val="20"/>
        </w:rPr>
        <w:t xml:space="preserve"> del</w:t>
      </w:r>
      <w:r w:rsidR="004629AC" w:rsidRPr="00A45056">
        <w:rPr>
          <w:rFonts w:ascii="Verdana"/>
          <w:bCs/>
          <w:color w:val="000000" w:themeColor="text1"/>
          <w:sz w:val="20"/>
          <w:szCs w:val="20"/>
        </w:rPr>
        <w:t>la fase di a</w:t>
      </w:r>
      <w:r w:rsidR="00420BF0" w:rsidRPr="00A45056">
        <w:rPr>
          <w:rFonts w:ascii="Verdana"/>
          <w:bCs/>
          <w:color w:val="000000" w:themeColor="text1"/>
          <w:sz w:val="20"/>
          <w:szCs w:val="20"/>
        </w:rPr>
        <w:t xml:space="preserve">vvio, in condizioni di mercato tuttavia </w:t>
      </w:r>
      <w:r w:rsidR="004629AC" w:rsidRPr="00A45056">
        <w:rPr>
          <w:rFonts w:ascii="Verdana"/>
          <w:bCs/>
          <w:color w:val="000000" w:themeColor="text1"/>
          <w:sz w:val="20"/>
          <w:szCs w:val="20"/>
        </w:rPr>
        <w:t>favorevoli, e comunque in modo transitorio</w:t>
      </w:r>
      <w:r w:rsidR="00420BF0" w:rsidRPr="00A45056">
        <w:rPr>
          <w:rFonts w:ascii="Verdana"/>
          <w:bCs/>
          <w:color w:val="000000" w:themeColor="text1"/>
          <w:sz w:val="20"/>
          <w:szCs w:val="20"/>
        </w:rPr>
        <w:t>. Osserva altres</w:t>
      </w:r>
      <w:r w:rsidR="00420BF0" w:rsidRPr="00A45056">
        <w:rPr>
          <w:rFonts w:ascii="Verdana"/>
          <w:bCs/>
          <w:color w:val="000000" w:themeColor="text1"/>
          <w:sz w:val="20"/>
          <w:szCs w:val="20"/>
        </w:rPr>
        <w:t>ì</w:t>
      </w:r>
      <w:r w:rsidR="00420BF0" w:rsidRPr="00A45056">
        <w:rPr>
          <w:rFonts w:ascii="Verdana"/>
          <w:bCs/>
          <w:color w:val="000000" w:themeColor="text1"/>
          <w:sz w:val="20"/>
          <w:szCs w:val="20"/>
        </w:rPr>
        <w:t xml:space="preserve"> che almeno una componente (il canone) </w:t>
      </w:r>
      <w:r w:rsidR="00420BF0" w:rsidRPr="00A45056">
        <w:rPr>
          <w:rFonts w:ascii="Verdana"/>
          <w:bCs/>
          <w:color w:val="000000" w:themeColor="text1"/>
          <w:sz w:val="20"/>
          <w:szCs w:val="20"/>
        </w:rPr>
        <w:t>è</w:t>
      </w:r>
      <w:r w:rsidR="00420BF0" w:rsidRPr="00A45056">
        <w:rPr>
          <w:rFonts w:ascii="Verdana"/>
          <w:bCs/>
          <w:color w:val="000000" w:themeColor="text1"/>
          <w:sz w:val="20"/>
          <w:szCs w:val="20"/>
        </w:rPr>
        <w:t xml:space="preserve"> stata rivista ampiamente al rialzo.</w:t>
      </w:r>
    </w:p>
    <w:p w:rsidR="00264DCB" w:rsidRPr="00A45056" w:rsidRDefault="007C0E76">
      <w:pPr>
        <w:numPr>
          <w:ilvl w:val="0"/>
          <w:numId w:val="30"/>
        </w:numPr>
        <w:shd w:val="clear" w:color="auto" w:fill="FEFFFF"/>
        <w:tabs>
          <w:tab w:val="clear" w:pos="218"/>
          <w:tab w:val="num" w:pos="616"/>
        </w:tabs>
        <w:spacing w:line="360" w:lineRule="auto"/>
        <w:ind w:left="262" w:firstLine="92"/>
        <w:jc w:val="both"/>
        <w:rPr>
          <w:rFonts w:ascii="Verdana" w:eastAsia="Verdana" w:hAnsi="Verdana" w:cs="Verdana"/>
          <w:color w:val="000000" w:themeColor="text1"/>
          <w:position w:val="4"/>
          <w:sz w:val="20"/>
          <w:szCs w:val="20"/>
        </w:rPr>
      </w:pPr>
      <w:proofErr w:type="gramStart"/>
      <w:r w:rsidRPr="00A45056">
        <w:rPr>
          <w:rFonts w:ascii="Verdana"/>
          <w:color w:val="000000" w:themeColor="text1"/>
          <w:sz w:val="20"/>
          <w:szCs w:val="20"/>
        </w:rPr>
        <w:t>gli</w:t>
      </w:r>
      <w:proofErr w:type="gramEnd"/>
      <w:r w:rsidRPr="00A45056">
        <w:rPr>
          <w:rFonts w:ascii="Verdana"/>
          <w:color w:val="000000" w:themeColor="text1"/>
          <w:sz w:val="20"/>
          <w:szCs w:val="20"/>
        </w:rPr>
        <w:t xml:space="preserve"> </w:t>
      </w:r>
      <w:proofErr w:type="spellStart"/>
      <w:r w:rsidRPr="00A45056">
        <w:rPr>
          <w:rFonts w:ascii="Verdana"/>
          <w:i/>
          <w:color w:val="000000" w:themeColor="text1"/>
          <w:sz w:val="20"/>
          <w:szCs w:val="20"/>
        </w:rPr>
        <w:t>income</w:t>
      </w:r>
      <w:r w:rsidR="0067700D">
        <w:rPr>
          <w:rFonts w:ascii="Verdana"/>
          <w:i/>
          <w:color w:val="000000" w:themeColor="text1"/>
          <w:sz w:val="20"/>
          <w:szCs w:val="20"/>
        </w:rPr>
        <w:t>-</w:t>
      </w:r>
      <w:r w:rsidRPr="00A45056">
        <w:rPr>
          <w:rFonts w:ascii="Verdana"/>
          <w:i/>
          <w:color w:val="000000" w:themeColor="text1"/>
          <w:sz w:val="20"/>
          <w:szCs w:val="20"/>
        </w:rPr>
        <w:t>return</w:t>
      </w:r>
      <w:r w:rsidR="00EE041B">
        <w:rPr>
          <w:rFonts w:ascii="Verdana"/>
          <w:i/>
          <w:color w:val="000000" w:themeColor="text1"/>
          <w:sz w:val="20"/>
          <w:szCs w:val="20"/>
        </w:rPr>
        <w:t>s</w:t>
      </w:r>
      <w:proofErr w:type="spellEnd"/>
      <w:r w:rsidRPr="00A45056">
        <w:rPr>
          <w:rFonts w:ascii="Verdana"/>
          <w:color w:val="000000" w:themeColor="text1"/>
          <w:sz w:val="20"/>
          <w:szCs w:val="20"/>
        </w:rPr>
        <w:t>, per la concessione, a mezzo della societ</w:t>
      </w:r>
      <w:r w:rsidRPr="00A45056">
        <w:rPr>
          <w:rFonts w:ascii="Verdana"/>
          <w:color w:val="000000" w:themeColor="text1"/>
          <w:sz w:val="20"/>
          <w:szCs w:val="20"/>
        </w:rPr>
        <w:t>à</w:t>
      </w:r>
      <w:r w:rsidRPr="00A45056">
        <w:rPr>
          <w:rFonts w:ascii="Verdana"/>
          <w:color w:val="000000" w:themeColor="text1"/>
          <w:sz w:val="20"/>
          <w:szCs w:val="20"/>
        </w:rPr>
        <w:t xml:space="preserve"> mista, delle licenze farmaceutiche</w:t>
      </w:r>
      <w:r w:rsidR="008A68AD" w:rsidRPr="00A45056">
        <w:rPr>
          <w:rFonts w:ascii="Verdana"/>
          <w:color w:val="000000" w:themeColor="text1"/>
          <w:sz w:val="20"/>
          <w:szCs w:val="20"/>
        </w:rPr>
        <w:t>,</w:t>
      </w:r>
      <w:r w:rsidRPr="00A45056">
        <w:rPr>
          <w:rFonts w:ascii="Verdana"/>
          <w:color w:val="000000" w:themeColor="text1"/>
          <w:sz w:val="20"/>
          <w:szCs w:val="20"/>
        </w:rPr>
        <w:t xml:space="preserve"> rimangono sostanzialmente modesti (anche in ragione di quanto al precedente alinea). In proposito non pu</w:t>
      </w:r>
      <w:r w:rsidRPr="00A45056">
        <w:rPr>
          <w:rFonts w:ascii="Verdana"/>
          <w:color w:val="000000" w:themeColor="text1"/>
          <w:sz w:val="20"/>
          <w:szCs w:val="20"/>
        </w:rPr>
        <w:t>ò</w:t>
      </w:r>
      <w:r w:rsidRPr="00A45056">
        <w:rPr>
          <w:rFonts w:ascii="Verdana"/>
          <w:color w:val="000000" w:themeColor="text1"/>
          <w:sz w:val="20"/>
          <w:szCs w:val="20"/>
        </w:rPr>
        <w:t xml:space="preserve"> non essere rilevato che gli utili realizzati dalle farmacie risultano </w:t>
      </w:r>
      <w:r w:rsidRPr="00A45056">
        <w:rPr>
          <w:rFonts w:ascii="Verdana"/>
          <w:color w:val="000000" w:themeColor="text1"/>
          <w:sz w:val="20"/>
          <w:szCs w:val="20"/>
          <w:u w:val="single"/>
        </w:rPr>
        <w:t xml:space="preserve">in contrasto </w:t>
      </w:r>
      <w:r w:rsidR="008101AB" w:rsidRPr="00A45056">
        <w:rPr>
          <w:rFonts w:ascii="Verdana"/>
          <w:color w:val="000000" w:themeColor="text1"/>
          <w:sz w:val="20"/>
          <w:szCs w:val="20"/>
          <w:u w:val="single"/>
        </w:rPr>
        <w:t xml:space="preserve">con </w:t>
      </w:r>
      <w:r w:rsidR="000E7F3D" w:rsidRPr="00A45056">
        <w:rPr>
          <w:rFonts w:ascii="Verdana"/>
          <w:color w:val="000000" w:themeColor="text1"/>
          <w:sz w:val="20"/>
          <w:szCs w:val="20"/>
          <w:u w:val="single"/>
        </w:rPr>
        <w:t>la redditivit</w:t>
      </w:r>
      <w:r w:rsidR="000E7F3D" w:rsidRPr="00A45056">
        <w:rPr>
          <w:rFonts w:hAnsi="Verdana"/>
          <w:color w:val="000000" w:themeColor="text1"/>
          <w:sz w:val="20"/>
          <w:szCs w:val="20"/>
          <w:u w:val="single"/>
        </w:rPr>
        <w:t>à</w:t>
      </w:r>
      <w:r w:rsidR="000E7F3D" w:rsidRPr="00A45056">
        <w:rPr>
          <w:rFonts w:hAnsi="Verdana"/>
          <w:color w:val="000000" w:themeColor="text1"/>
          <w:sz w:val="20"/>
          <w:szCs w:val="20"/>
          <w:u w:val="single"/>
        </w:rPr>
        <w:t xml:space="preserve"> </w:t>
      </w:r>
      <w:r w:rsidR="000E7F3D" w:rsidRPr="00A45056">
        <w:rPr>
          <w:rFonts w:ascii="Verdana"/>
          <w:color w:val="000000" w:themeColor="text1"/>
          <w:sz w:val="20"/>
          <w:szCs w:val="20"/>
          <w:u w:val="single"/>
        </w:rPr>
        <w:t>media riconosciuta proprio in sede di lodo arbitrale</w:t>
      </w:r>
      <w:r w:rsidR="000E7F3D" w:rsidRPr="00A45056">
        <w:rPr>
          <w:rFonts w:ascii="Verdana"/>
          <w:color w:val="000000" w:themeColor="text1"/>
          <w:sz w:val="20"/>
          <w:szCs w:val="20"/>
        </w:rPr>
        <w:t>. Si rammenta</w:t>
      </w:r>
      <w:r w:rsidR="007A3FDE" w:rsidRPr="00A45056">
        <w:rPr>
          <w:rFonts w:ascii="Verdana"/>
          <w:color w:val="000000" w:themeColor="text1"/>
          <w:sz w:val="20"/>
          <w:szCs w:val="20"/>
        </w:rPr>
        <w:t>, infatti,</w:t>
      </w:r>
      <w:r w:rsidR="000E7F3D" w:rsidRPr="00A45056">
        <w:rPr>
          <w:rFonts w:ascii="Verdana"/>
          <w:color w:val="000000" w:themeColor="text1"/>
          <w:sz w:val="20"/>
          <w:szCs w:val="20"/>
        </w:rPr>
        <w:t xml:space="preserve"> che </w:t>
      </w:r>
      <w:r w:rsidR="007A3FDE" w:rsidRPr="00A45056">
        <w:rPr>
          <w:rFonts w:ascii="Verdana"/>
          <w:color w:val="000000" w:themeColor="text1"/>
          <w:sz w:val="20"/>
          <w:szCs w:val="20"/>
        </w:rPr>
        <w:t xml:space="preserve">agli atti di tale procedimento para-giurisdizionale, </w:t>
      </w:r>
      <w:r w:rsidR="000E7F3D" w:rsidRPr="00A45056">
        <w:rPr>
          <w:rFonts w:ascii="Verdana"/>
          <w:color w:val="000000" w:themeColor="text1"/>
          <w:sz w:val="20"/>
          <w:szCs w:val="20"/>
        </w:rPr>
        <w:t>il</w:t>
      </w:r>
      <w:r w:rsidR="000E7F3D" w:rsidRPr="00A45056">
        <w:rPr>
          <w:rFonts w:ascii="Verdana"/>
          <w:bCs/>
          <w:color w:val="000000" w:themeColor="text1"/>
          <w:sz w:val="20"/>
          <w:szCs w:val="20"/>
        </w:rPr>
        <w:t xml:space="preserve"> lucro cessante veniva quantificato e provato </w:t>
      </w:r>
      <w:r w:rsidR="007A3FDE" w:rsidRPr="00A45056">
        <w:rPr>
          <w:rFonts w:ascii="Verdana"/>
          <w:bCs/>
          <w:color w:val="000000" w:themeColor="text1"/>
          <w:sz w:val="20"/>
          <w:szCs w:val="20"/>
        </w:rPr>
        <w:t xml:space="preserve">dallo stesso Socio privato </w:t>
      </w:r>
      <w:r w:rsidR="000E7F3D" w:rsidRPr="00A45056">
        <w:rPr>
          <w:rFonts w:ascii="Verdana"/>
          <w:bCs/>
          <w:color w:val="000000" w:themeColor="text1"/>
          <w:sz w:val="20"/>
          <w:szCs w:val="20"/>
        </w:rPr>
        <w:t xml:space="preserve">con i </w:t>
      </w:r>
      <w:r w:rsidR="000E7F3D" w:rsidRPr="00A45056">
        <w:rPr>
          <w:rFonts w:hAnsi="Verdana"/>
          <w:bCs/>
          <w:color w:val="000000" w:themeColor="text1"/>
          <w:sz w:val="20"/>
          <w:szCs w:val="20"/>
        </w:rPr>
        <w:t>“</w:t>
      </w:r>
      <w:r w:rsidR="000E7F3D" w:rsidRPr="00A45056">
        <w:rPr>
          <w:rFonts w:ascii="Verdana"/>
          <w:bCs/>
          <w:color w:val="000000" w:themeColor="text1"/>
          <w:sz w:val="20"/>
          <w:szCs w:val="20"/>
          <w:u w:val="single"/>
        </w:rPr>
        <w:t xml:space="preserve">conti/prospetti situazione </w:t>
      </w:r>
      <w:proofErr w:type="gramStart"/>
      <w:r w:rsidR="000E7F3D" w:rsidRPr="00A45056">
        <w:rPr>
          <w:rFonts w:ascii="Verdana"/>
          <w:bCs/>
          <w:color w:val="000000" w:themeColor="text1"/>
          <w:sz w:val="20"/>
          <w:szCs w:val="20"/>
          <w:u w:val="single"/>
        </w:rPr>
        <w:t>economica</w:t>
      </w:r>
      <w:r w:rsidR="000E7F3D" w:rsidRPr="00A45056">
        <w:rPr>
          <w:rFonts w:hAnsi="Verdana"/>
          <w:bCs/>
          <w:color w:val="000000" w:themeColor="text1"/>
          <w:sz w:val="20"/>
          <w:szCs w:val="20"/>
          <w:u w:val="single"/>
        </w:rPr>
        <w:t>”</w:t>
      </w:r>
      <w:r w:rsidR="000E7F3D" w:rsidRPr="00A45056">
        <w:rPr>
          <w:rFonts w:hAnsi="Verdana"/>
          <w:bCs/>
          <w:color w:val="000000" w:themeColor="text1"/>
          <w:sz w:val="20"/>
          <w:szCs w:val="20"/>
          <w:u w:val="single"/>
        </w:rPr>
        <w:t xml:space="preserve">  </w:t>
      </w:r>
      <w:r w:rsidR="000E7F3D" w:rsidRPr="00A45056">
        <w:rPr>
          <w:rFonts w:ascii="Verdana"/>
          <w:bCs/>
          <w:color w:val="000000" w:themeColor="text1"/>
          <w:sz w:val="20"/>
          <w:szCs w:val="20"/>
          <w:u w:val="single"/>
        </w:rPr>
        <w:t>delle</w:t>
      </w:r>
      <w:proofErr w:type="gramEnd"/>
      <w:r w:rsidR="000E7F3D" w:rsidRPr="00A45056">
        <w:rPr>
          <w:rFonts w:ascii="Verdana"/>
          <w:bCs/>
          <w:color w:val="000000" w:themeColor="text1"/>
          <w:sz w:val="20"/>
          <w:szCs w:val="20"/>
          <w:u w:val="single"/>
        </w:rPr>
        <w:t xml:space="preserve"> altre farmacie comunali operative nell'ambito dello stesso Contratto di servizio 30/11/2007</w:t>
      </w:r>
      <w:r w:rsidR="00020F4F" w:rsidRPr="00A45056">
        <w:rPr>
          <w:rFonts w:ascii="Verdana"/>
          <w:bCs/>
          <w:color w:val="000000" w:themeColor="text1"/>
          <w:sz w:val="20"/>
          <w:szCs w:val="20"/>
          <w:u w:val="single"/>
        </w:rPr>
        <w:t xml:space="preserve"> (</w:t>
      </w:r>
      <w:r w:rsidR="000E7F3D" w:rsidRPr="00A45056">
        <w:rPr>
          <w:rFonts w:ascii="Verdana"/>
          <w:bCs/>
          <w:color w:val="000000" w:themeColor="text1"/>
          <w:sz w:val="20"/>
          <w:szCs w:val="20"/>
        </w:rPr>
        <w:t>prodotti da SOCIGESS</w:t>
      </w:r>
      <w:r w:rsidR="00020F4F" w:rsidRPr="00A45056">
        <w:rPr>
          <w:rFonts w:ascii="Verdana"/>
          <w:bCs/>
          <w:color w:val="000000" w:themeColor="text1"/>
          <w:sz w:val="20"/>
          <w:szCs w:val="20"/>
        </w:rPr>
        <w:t>)</w:t>
      </w:r>
      <w:r w:rsidR="000E7F3D" w:rsidRPr="00A45056">
        <w:rPr>
          <w:rFonts w:ascii="Verdana"/>
          <w:bCs/>
          <w:color w:val="000000" w:themeColor="text1"/>
          <w:sz w:val="20"/>
          <w:szCs w:val="20"/>
        </w:rPr>
        <w:t>; ciascuna farmacia avrebbe quindi, almeno fino al 2012, una redditivit</w:t>
      </w:r>
      <w:r w:rsidR="000E7F3D" w:rsidRPr="00A45056">
        <w:rPr>
          <w:rFonts w:hAnsi="Verdana"/>
          <w:bCs/>
          <w:color w:val="000000" w:themeColor="text1"/>
          <w:sz w:val="20"/>
          <w:szCs w:val="20"/>
        </w:rPr>
        <w:t>à</w:t>
      </w:r>
      <w:r w:rsidR="000E7F3D" w:rsidRPr="00A45056">
        <w:rPr>
          <w:rFonts w:hAnsi="Verdana"/>
          <w:bCs/>
          <w:color w:val="000000" w:themeColor="text1"/>
          <w:sz w:val="20"/>
          <w:szCs w:val="20"/>
        </w:rPr>
        <w:t xml:space="preserve"> </w:t>
      </w:r>
      <w:r w:rsidR="000E7F3D" w:rsidRPr="00A45056">
        <w:rPr>
          <w:rFonts w:ascii="Verdana"/>
          <w:bCs/>
          <w:color w:val="000000" w:themeColor="text1"/>
          <w:sz w:val="20"/>
          <w:szCs w:val="20"/>
        </w:rPr>
        <w:t xml:space="preserve">media netta di </w:t>
      </w:r>
      <w:r w:rsidR="000E7F3D" w:rsidRPr="00A45056">
        <w:rPr>
          <w:rFonts w:hAnsi="Verdana"/>
          <w:bCs/>
          <w:color w:val="000000" w:themeColor="text1"/>
          <w:sz w:val="20"/>
          <w:szCs w:val="20"/>
        </w:rPr>
        <w:t>€</w:t>
      </w:r>
      <w:r w:rsidR="000E7F3D" w:rsidRPr="00A45056">
        <w:rPr>
          <w:rFonts w:hAnsi="Verdana"/>
          <w:bCs/>
          <w:color w:val="000000" w:themeColor="text1"/>
          <w:sz w:val="20"/>
          <w:szCs w:val="20"/>
        </w:rPr>
        <w:t xml:space="preserve"> </w:t>
      </w:r>
      <w:r w:rsidR="000E7F3D" w:rsidRPr="00A45056">
        <w:rPr>
          <w:rFonts w:ascii="Verdana"/>
          <w:bCs/>
          <w:color w:val="000000" w:themeColor="text1"/>
          <w:sz w:val="20"/>
          <w:szCs w:val="20"/>
        </w:rPr>
        <w:t>5.000</w:t>
      </w:r>
      <w:r w:rsidR="00593907" w:rsidRPr="00A45056">
        <w:rPr>
          <w:rFonts w:ascii="Verdana"/>
          <w:bCs/>
          <w:color w:val="000000" w:themeColor="text1"/>
          <w:sz w:val="20"/>
          <w:szCs w:val="20"/>
        </w:rPr>
        <w:t>,00</w:t>
      </w:r>
      <w:r w:rsidR="000E7F3D" w:rsidRPr="00A45056">
        <w:rPr>
          <w:rFonts w:ascii="Verdana"/>
          <w:bCs/>
          <w:color w:val="000000" w:themeColor="text1"/>
          <w:sz w:val="20"/>
          <w:szCs w:val="20"/>
        </w:rPr>
        <w:t xml:space="preserve"> mensili, vale a dire </w:t>
      </w:r>
      <w:r w:rsidR="000E7F3D" w:rsidRPr="00A45056">
        <w:rPr>
          <w:rFonts w:ascii="Verdana"/>
          <w:color w:val="000000" w:themeColor="text1"/>
          <w:sz w:val="20"/>
          <w:szCs w:val="20"/>
        </w:rPr>
        <w:t>60</w:t>
      </w:r>
      <w:r w:rsidR="0085564A" w:rsidRPr="00A45056">
        <w:rPr>
          <w:rFonts w:ascii="Verdana"/>
          <w:color w:val="000000" w:themeColor="text1"/>
          <w:sz w:val="20"/>
          <w:szCs w:val="20"/>
        </w:rPr>
        <w:t>.000,00</w:t>
      </w:r>
      <w:r w:rsidR="000E7F3D" w:rsidRPr="00A45056">
        <w:rPr>
          <w:rFonts w:ascii="Verdana"/>
          <w:color w:val="000000" w:themeColor="text1"/>
          <w:sz w:val="20"/>
          <w:szCs w:val="20"/>
        </w:rPr>
        <w:t xml:space="preserve"> all</w:t>
      </w:r>
      <w:r w:rsidR="000E7F3D" w:rsidRPr="00A45056">
        <w:rPr>
          <w:rFonts w:hAnsi="Verdana"/>
          <w:color w:val="000000" w:themeColor="text1"/>
          <w:sz w:val="20"/>
          <w:szCs w:val="20"/>
        </w:rPr>
        <w:t>’</w:t>
      </w:r>
      <w:r w:rsidR="000E7F3D" w:rsidRPr="00A45056">
        <w:rPr>
          <w:rFonts w:ascii="Verdana"/>
          <w:color w:val="000000" w:themeColor="text1"/>
          <w:sz w:val="20"/>
          <w:szCs w:val="20"/>
        </w:rPr>
        <w:t>anno. Se si esclude il biennio di start</w:t>
      </w:r>
      <w:r w:rsidR="0053453B" w:rsidRPr="00A45056">
        <w:rPr>
          <w:rFonts w:ascii="Verdana"/>
          <w:color w:val="000000" w:themeColor="text1"/>
          <w:sz w:val="20"/>
          <w:szCs w:val="20"/>
        </w:rPr>
        <w:t>-</w:t>
      </w:r>
      <w:r w:rsidR="000E7F3D" w:rsidRPr="00A45056">
        <w:rPr>
          <w:rFonts w:ascii="Verdana"/>
          <w:color w:val="000000" w:themeColor="text1"/>
          <w:sz w:val="20"/>
          <w:szCs w:val="20"/>
        </w:rPr>
        <w:t>up, la Tabella D</w:t>
      </w:r>
      <w:r w:rsidR="00B05890" w:rsidRPr="00A45056">
        <w:rPr>
          <w:rFonts w:ascii="Verdana"/>
          <w:color w:val="000000" w:themeColor="text1"/>
          <w:sz w:val="20"/>
          <w:szCs w:val="20"/>
        </w:rPr>
        <w:t>.1</w:t>
      </w:r>
      <w:r w:rsidR="000E7F3D" w:rsidRPr="00A45056">
        <w:rPr>
          <w:rFonts w:ascii="Verdana"/>
          <w:color w:val="000000" w:themeColor="text1"/>
          <w:sz w:val="20"/>
          <w:szCs w:val="20"/>
        </w:rPr>
        <w:t xml:space="preserve"> testimonia un utile integrato, per INCOFARMA, nettamente pi</w:t>
      </w:r>
      <w:r w:rsidR="000E7F3D" w:rsidRPr="00A45056">
        <w:rPr>
          <w:rFonts w:hAnsi="Verdana"/>
          <w:color w:val="000000" w:themeColor="text1"/>
          <w:sz w:val="20"/>
          <w:szCs w:val="20"/>
        </w:rPr>
        <w:t>ù</w:t>
      </w:r>
      <w:r w:rsidR="000E7F3D" w:rsidRPr="00A45056">
        <w:rPr>
          <w:rFonts w:hAnsi="Verdana"/>
          <w:color w:val="000000" w:themeColor="text1"/>
          <w:sz w:val="20"/>
          <w:szCs w:val="20"/>
        </w:rPr>
        <w:t xml:space="preserve"> </w:t>
      </w:r>
      <w:r w:rsidR="000E7F3D" w:rsidRPr="00A45056">
        <w:rPr>
          <w:rFonts w:ascii="Verdana"/>
          <w:color w:val="000000" w:themeColor="text1"/>
          <w:sz w:val="20"/>
          <w:szCs w:val="20"/>
        </w:rPr>
        <w:t>basso. In media</w:t>
      </w:r>
      <w:r w:rsidR="00F04B9C" w:rsidRPr="00A45056">
        <w:rPr>
          <w:rFonts w:ascii="Verdana"/>
          <w:color w:val="000000" w:themeColor="text1"/>
          <w:sz w:val="20"/>
          <w:szCs w:val="20"/>
        </w:rPr>
        <w:t>, in base a tali dati,</w:t>
      </w:r>
      <w:r w:rsidR="000E7F3D" w:rsidRPr="00A45056">
        <w:rPr>
          <w:rFonts w:ascii="Verdana"/>
          <w:color w:val="000000" w:themeColor="text1"/>
          <w:sz w:val="20"/>
          <w:szCs w:val="20"/>
        </w:rPr>
        <w:t xml:space="preserve"> dovrebbe percepire, con 15 farmacie attive</w:t>
      </w:r>
      <w:r w:rsidR="00B05890" w:rsidRPr="00A45056">
        <w:rPr>
          <w:rFonts w:ascii="Verdana"/>
          <w:color w:val="000000" w:themeColor="text1"/>
          <w:sz w:val="20"/>
          <w:szCs w:val="20"/>
        </w:rPr>
        <w:t xml:space="preserve"> </w:t>
      </w:r>
      <w:r w:rsidR="00B05890" w:rsidRPr="00A45056">
        <w:rPr>
          <w:rFonts w:ascii="Verdana"/>
          <w:color w:val="000000" w:themeColor="text1"/>
          <w:sz w:val="20"/>
          <w:szCs w:val="20"/>
        </w:rPr>
        <w:t>–</w:t>
      </w:r>
      <w:r w:rsidR="00860C03" w:rsidRPr="00A45056">
        <w:rPr>
          <w:rFonts w:ascii="Verdana"/>
          <w:color w:val="000000" w:themeColor="text1"/>
          <w:sz w:val="20"/>
          <w:szCs w:val="20"/>
        </w:rPr>
        <w:t xml:space="preserve"> quota raggiunta, come detto, nel 2014</w:t>
      </w:r>
      <w:r w:rsidR="00B05890" w:rsidRPr="00A45056">
        <w:rPr>
          <w:rFonts w:ascii="Verdana"/>
          <w:color w:val="000000" w:themeColor="text1"/>
          <w:sz w:val="20"/>
          <w:szCs w:val="20"/>
        </w:rPr>
        <w:t xml:space="preserve"> </w:t>
      </w:r>
      <w:r w:rsidR="00B05890" w:rsidRPr="00A45056">
        <w:rPr>
          <w:rFonts w:ascii="Verdana"/>
          <w:color w:val="000000" w:themeColor="text1"/>
          <w:sz w:val="20"/>
          <w:szCs w:val="20"/>
        </w:rPr>
        <w:t>–</w:t>
      </w:r>
      <w:r w:rsidR="00860C03" w:rsidRPr="00A45056">
        <w:rPr>
          <w:rFonts w:ascii="Verdana"/>
          <w:color w:val="000000" w:themeColor="text1"/>
          <w:sz w:val="20"/>
          <w:szCs w:val="20"/>
        </w:rPr>
        <w:t xml:space="preserve"> </w:t>
      </w:r>
      <w:r w:rsidR="00F04B9C" w:rsidRPr="00A45056">
        <w:rPr>
          <w:rFonts w:ascii="Verdana"/>
          <w:color w:val="000000" w:themeColor="text1"/>
          <w:sz w:val="20"/>
          <w:szCs w:val="20"/>
        </w:rPr>
        <w:t xml:space="preserve">circa </w:t>
      </w:r>
      <w:r w:rsidR="000E7F3D" w:rsidRPr="00A45056">
        <w:rPr>
          <w:rFonts w:ascii="Verdana"/>
          <w:color w:val="000000" w:themeColor="text1"/>
          <w:sz w:val="20"/>
          <w:szCs w:val="20"/>
        </w:rPr>
        <w:t>900</w:t>
      </w:r>
      <w:r w:rsidR="005E7EEE" w:rsidRPr="00A45056">
        <w:rPr>
          <w:rFonts w:ascii="Verdana"/>
          <w:color w:val="000000" w:themeColor="text1"/>
          <w:sz w:val="20"/>
          <w:szCs w:val="20"/>
        </w:rPr>
        <w:t>.000,00</w:t>
      </w:r>
      <w:r w:rsidR="000E7F3D" w:rsidRPr="00A45056">
        <w:rPr>
          <w:rFonts w:ascii="Verdana"/>
          <w:color w:val="000000" w:themeColor="text1"/>
          <w:sz w:val="20"/>
          <w:szCs w:val="20"/>
        </w:rPr>
        <w:t xml:space="preserve"> euro all</w:t>
      </w:r>
      <w:r w:rsidR="000E7F3D" w:rsidRPr="00A45056">
        <w:rPr>
          <w:rFonts w:ascii="Verdana"/>
          <w:color w:val="000000" w:themeColor="text1"/>
          <w:sz w:val="20"/>
          <w:szCs w:val="20"/>
        </w:rPr>
        <w:t>’</w:t>
      </w:r>
      <w:r w:rsidR="000E7F3D" w:rsidRPr="00A45056">
        <w:rPr>
          <w:rFonts w:ascii="Verdana"/>
          <w:color w:val="000000" w:themeColor="text1"/>
          <w:sz w:val="20"/>
          <w:szCs w:val="20"/>
        </w:rPr>
        <w:t xml:space="preserve">anno, con un dividendo per il CISS di </w:t>
      </w:r>
      <w:r w:rsidR="000E7F3D" w:rsidRPr="00A45056">
        <w:rPr>
          <w:rFonts w:ascii="Verdana"/>
          <w:color w:val="000000" w:themeColor="text1"/>
          <w:sz w:val="20"/>
          <w:szCs w:val="20"/>
        </w:rPr>
        <w:t>€</w:t>
      </w:r>
      <w:r w:rsidR="000E7F3D" w:rsidRPr="00A45056">
        <w:rPr>
          <w:rFonts w:ascii="Verdana"/>
          <w:color w:val="000000" w:themeColor="text1"/>
          <w:sz w:val="20"/>
          <w:szCs w:val="20"/>
        </w:rPr>
        <w:t xml:space="preserve"> </w:t>
      </w:r>
      <w:r w:rsidR="00452535" w:rsidRPr="00A45056">
        <w:rPr>
          <w:rFonts w:ascii="Verdana"/>
          <w:color w:val="000000" w:themeColor="text1"/>
          <w:sz w:val="20"/>
          <w:szCs w:val="20"/>
        </w:rPr>
        <w:t>225.000</w:t>
      </w:r>
      <w:r w:rsidR="005E7EEE" w:rsidRPr="00A45056">
        <w:rPr>
          <w:rFonts w:ascii="Verdana"/>
          <w:color w:val="000000" w:themeColor="text1"/>
          <w:sz w:val="20"/>
          <w:szCs w:val="20"/>
        </w:rPr>
        <w:t>,00</w:t>
      </w:r>
      <w:r w:rsidR="00452535" w:rsidRPr="00A45056">
        <w:rPr>
          <w:rFonts w:ascii="Verdana"/>
          <w:color w:val="000000" w:themeColor="text1"/>
          <w:sz w:val="20"/>
          <w:szCs w:val="20"/>
        </w:rPr>
        <w:t xml:space="preserve"> (proporzionale alla quota di partecipazione del 25%)</w:t>
      </w:r>
      <w:r w:rsidR="00FB16A9" w:rsidRPr="00A45056">
        <w:rPr>
          <w:rFonts w:ascii="Verdana"/>
          <w:color w:val="000000" w:themeColor="text1"/>
          <w:sz w:val="20"/>
          <w:szCs w:val="20"/>
        </w:rPr>
        <w:t>.</w:t>
      </w:r>
    </w:p>
    <w:p w:rsidR="005B04AD" w:rsidRPr="00A45056" w:rsidRDefault="00452535" w:rsidP="007B375D">
      <w:pPr>
        <w:shd w:val="clear" w:color="auto" w:fill="FEFFFF"/>
        <w:spacing w:line="360" w:lineRule="auto"/>
        <w:ind w:firstLine="354"/>
        <w:jc w:val="both"/>
        <w:rPr>
          <w:rFonts w:ascii="Verdana"/>
          <w:bCs/>
          <w:color w:val="000000" w:themeColor="text1"/>
          <w:sz w:val="20"/>
          <w:szCs w:val="20"/>
        </w:rPr>
      </w:pPr>
      <w:r w:rsidRPr="00A45056">
        <w:rPr>
          <w:rFonts w:ascii="Verdana"/>
          <w:color w:val="000000" w:themeColor="text1"/>
          <w:sz w:val="20"/>
          <w:szCs w:val="20"/>
        </w:rPr>
        <w:t>In</w:t>
      </w:r>
      <w:r w:rsidRPr="00A45056">
        <w:rPr>
          <w:rFonts w:ascii="Verdana"/>
          <w:bCs/>
          <w:color w:val="000000" w:themeColor="text1"/>
          <w:sz w:val="20"/>
          <w:szCs w:val="20"/>
        </w:rPr>
        <w:t xml:space="preserve"> buona sostanza, </w:t>
      </w:r>
      <w:r w:rsidR="00E37CCB" w:rsidRPr="00A45056">
        <w:rPr>
          <w:rFonts w:ascii="Verdana"/>
          <w:bCs/>
          <w:color w:val="000000" w:themeColor="text1"/>
          <w:sz w:val="20"/>
          <w:szCs w:val="20"/>
        </w:rPr>
        <w:t xml:space="preserve">allo stato degli atti, sulla base del riferito reddito presuntivo medio </w:t>
      </w:r>
      <w:r w:rsidR="00E40581" w:rsidRPr="00A45056">
        <w:rPr>
          <w:rFonts w:ascii="Verdana"/>
          <w:bCs/>
          <w:color w:val="000000" w:themeColor="text1"/>
          <w:sz w:val="20"/>
          <w:szCs w:val="20"/>
        </w:rPr>
        <w:t xml:space="preserve">annuale </w:t>
      </w:r>
      <w:r w:rsidR="00E37CCB" w:rsidRPr="00A45056">
        <w:rPr>
          <w:rFonts w:ascii="Verdana"/>
          <w:bCs/>
          <w:color w:val="000000" w:themeColor="text1"/>
          <w:sz w:val="20"/>
          <w:szCs w:val="20"/>
        </w:rPr>
        <w:t>per farmacia</w:t>
      </w:r>
      <w:r w:rsidR="00E40581" w:rsidRPr="00A45056">
        <w:rPr>
          <w:rFonts w:ascii="Verdana"/>
          <w:bCs/>
          <w:color w:val="000000" w:themeColor="text1"/>
          <w:sz w:val="20"/>
          <w:szCs w:val="20"/>
        </w:rPr>
        <w:t xml:space="preserve"> (</w:t>
      </w:r>
      <w:r w:rsidR="00E40581" w:rsidRPr="00A45056">
        <w:rPr>
          <w:rFonts w:ascii="Verdana"/>
          <w:bCs/>
          <w:color w:val="000000" w:themeColor="text1"/>
          <w:sz w:val="20"/>
          <w:szCs w:val="20"/>
        </w:rPr>
        <w:t>€</w:t>
      </w:r>
      <w:r w:rsidR="00E40581" w:rsidRPr="00A45056">
        <w:rPr>
          <w:rFonts w:ascii="Verdana"/>
          <w:bCs/>
          <w:color w:val="000000" w:themeColor="text1"/>
          <w:sz w:val="20"/>
          <w:szCs w:val="20"/>
        </w:rPr>
        <w:t xml:space="preserve"> 60</w:t>
      </w:r>
      <w:r w:rsidR="005E7EEE" w:rsidRPr="00A45056">
        <w:rPr>
          <w:rFonts w:ascii="Verdana"/>
          <w:bCs/>
          <w:color w:val="000000" w:themeColor="text1"/>
          <w:sz w:val="20"/>
          <w:szCs w:val="20"/>
        </w:rPr>
        <w:t>.000,00</w:t>
      </w:r>
      <w:r w:rsidR="00E40581" w:rsidRPr="00A45056">
        <w:rPr>
          <w:rFonts w:ascii="Verdana"/>
          <w:bCs/>
          <w:color w:val="000000" w:themeColor="text1"/>
          <w:sz w:val="20"/>
          <w:szCs w:val="20"/>
        </w:rPr>
        <w:t>)</w:t>
      </w:r>
      <w:r w:rsidR="00E37CCB" w:rsidRPr="00A45056">
        <w:rPr>
          <w:rFonts w:ascii="Verdana"/>
          <w:bCs/>
          <w:color w:val="000000" w:themeColor="text1"/>
          <w:sz w:val="20"/>
          <w:szCs w:val="20"/>
        </w:rPr>
        <w:t xml:space="preserve">, </w:t>
      </w:r>
      <w:r w:rsidR="00284F8A" w:rsidRPr="00A45056">
        <w:rPr>
          <w:rFonts w:ascii="Verdana"/>
          <w:bCs/>
          <w:color w:val="000000" w:themeColor="text1"/>
          <w:sz w:val="20"/>
          <w:szCs w:val="20"/>
        </w:rPr>
        <w:t>se si tiene conto del num</w:t>
      </w:r>
      <w:r w:rsidR="00020F4F" w:rsidRPr="00A45056">
        <w:rPr>
          <w:rFonts w:ascii="Verdana"/>
          <w:bCs/>
          <w:color w:val="000000" w:themeColor="text1"/>
          <w:sz w:val="20"/>
          <w:szCs w:val="20"/>
        </w:rPr>
        <w:t>er</w:t>
      </w:r>
      <w:r w:rsidR="00284F8A" w:rsidRPr="00A45056">
        <w:rPr>
          <w:rFonts w:ascii="Verdana"/>
          <w:bCs/>
          <w:color w:val="000000" w:themeColor="text1"/>
          <w:sz w:val="20"/>
          <w:szCs w:val="20"/>
        </w:rPr>
        <w:t>o di farmacie attualmente aperte (n. 15</w:t>
      </w:r>
      <w:proofErr w:type="gramStart"/>
      <w:r w:rsidR="00284F8A" w:rsidRPr="00A45056">
        <w:rPr>
          <w:rFonts w:ascii="Verdana"/>
          <w:bCs/>
          <w:color w:val="000000" w:themeColor="text1"/>
          <w:sz w:val="20"/>
          <w:szCs w:val="20"/>
        </w:rPr>
        <w:t xml:space="preserve">)  </w:t>
      </w:r>
      <w:r w:rsidRPr="00A45056">
        <w:rPr>
          <w:rFonts w:ascii="Verdana"/>
          <w:bCs/>
          <w:color w:val="000000" w:themeColor="text1"/>
          <w:sz w:val="20"/>
          <w:szCs w:val="20"/>
        </w:rPr>
        <w:t>a</w:t>
      </w:r>
      <w:proofErr w:type="gramEnd"/>
      <w:r w:rsidRPr="00A45056">
        <w:rPr>
          <w:rFonts w:ascii="Verdana"/>
          <w:bCs/>
          <w:color w:val="000000" w:themeColor="text1"/>
          <w:sz w:val="20"/>
          <w:szCs w:val="20"/>
        </w:rPr>
        <w:t xml:space="preserve"> regime, </w:t>
      </w:r>
      <w:r w:rsidR="00284F8A" w:rsidRPr="00A45056">
        <w:rPr>
          <w:rFonts w:ascii="Verdana"/>
          <w:bCs/>
          <w:color w:val="000000" w:themeColor="text1"/>
          <w:sz w:val="20"/>
          <w:szCs w:val="20"/>
        </w:rPr>
        <w:t xml:space="preserve">il CISS </w:t>
      </w:r>
      <w:r w:rsidR="00020F4F" w:rsidRPr="00A45056">
        <w:rPr>
          <w:rFonts w:ascii="Verdana"/>
          <w:bCs/>
          <w:color w:val="000000" w:themeColor="text1"/>
          <w:sz w:val="20"/>
          <w:szCs w:val="20"/>
        </w:rPr>
        <w:t>potrebbe</w:t>
      </w:r>
      <w:r w:rsidR="00284F8A" w:rsidRPr="00A45056">
        <w:rPr>
          <w:rFonts w:ascii="Verdana"/>
          <w:bCs/>
          <w:color w:val="000000" w:themeColor="text1"/>
          <w:sz w:val="20"/>
          <w:szCs w:val="20"/>
        </w:rPr>
        <w:t xml:space="preserve"> </w:t>
      </w:r>
      <w:r w:rsidR="005B04AD" w:rsidRPr="00A45056">
        <w:rPr>
          <w:rFonts w:ascii="Verdana"/>
          <w:bCs/>
          <w:color w:val="000000" w:themeColor="text1"/>
          <w:sz w:val="20"/>
          <w:szCs w:val="20"/>
        </w:rPr>
        <w:t>contare su un introito presuntivo medio pari a:</w:t>
      </w:r>
    </w:p>
    <w:p w:rsidR="003774B1" w:rsidRPr="00A45056" w:rsidRDefault="003774B1" w:rsidP="005B04AD">
      <w:pPr>
        <w:pStyle w:val="Paragrafoelenco"/>
        <w:numPr>
          <w:ilvl w:val="0"/>
          <w:numId w:val="30"/>
        </w:numPr>
        <w:shd w:val="clear" w:color="auto" w:fill="FEFFFF"/>
        <w:spacing w:line="360" w:lineRule="auto"/>
        <w:jc w:val="both"/>
        <w:rPr>
          <w:rFonts w:ascii="Verdana" w:eastAsia="Verdana" w:hAnsi="Verdana" w:cs="Verdana"/>
          <w:bCs/>
          <w:color w:val="000000" w:themeColor="text1"/>
          <w:sz w:val="20"/>
          <w:szCs w:val="20"/>
        </w:rPr>
      </w:pPr>
      <w:r w:rsidRPr="00A45056">
        <w:rPr>
          <w:rFonts w:ascii="Verdana" w:hAnsi="Verdana"/>
          <w:bCs/>
          <w:color w:val="000000" w:themeColor="text1"/>
          <w:sz w:val="20"/>
          <w:szCs w:val="20"/>
        </w:rPr>
        <w:t>€</w:t>
      </w:r>
      <w:r w:rsidR="005B04AD" w:rsidRPr="00A45056">
        <w:rPr>
          <w:rFonts w:ascii="Verdana" w:hAnsi="Verdana"/>
          <w:bCs/>
          <w:color w:val="000000" w:themeColor="text1"/>
          <w:sz w:val="20"/>
          <w:szCs w:val="20"/>
        </w:rPr>
        <w:t xml:space="preserve"> 225</w:t>
      </w:r>
      <w:r w:rsidR="005E7EEE" w:rsidRPr="00A45056">
        <w:rPr>
          <w:rFonts w:ascii="Verdana"/>
          <w:bCs/>
          <w:color w:val="000000" w:themeColor="text1"/>
          <w:sz w:val="20"/>
          <w:szCs w:val="20"/>
        </w:rPr>
        <w:t>.000,00</w:t>
      </w:r>
      <w:r w:rsidR="001A030C" w:rsidRPr="00A45056">
        <w:rPr>
          <w:rFonts w:ascii="Verdana"/>
          <w:bCs/>
          <w:color w:val="000000" w:themeColor="text1"/>
          <w:sz w:val="20"/>
          <w:szCs w:val="20"/>
        </w:rPr>
        <w:t xml:space="preserve"> per utili</w:t>
      </w:r>
      <w:r w:rsidR="00A808EC" w:rsidRPr="00A45056">
        <w:rPr>
          <w:rFonts w:ascii="Verdana"/>
          <w:bCs/>
          <w:color w:val="000000" w:themeColor="text1"/>
          <w:sz w:val="20"/>
          <w:szCs w:val="20"/>
        </w:rPr>
        <w:t>,</w:t>
      </w:r>
      <w:r w:rsidR="005B04AD" w:rsidRPr="00A45056">
        <w:rPr>
          <w:rFonts w:ascii="Verdana"/>
          <w:bCs/>
          <w:color w:val="000000" w:themeColor="text1"/>
          <w:sz w:val="20"/>
          <w:szCs w:val="20"/>
        </w:rPr>
        <w:t xml:space="preserve"> </w:t>
      </w:r>
      <w:r w:rsidR="00594ED5" w:rsidRPr="00A45056">
        <w:rPr>
          <w:rFonts w:ascii="Verdana"/>
          <w:bCs/>
          <w:color w:val="000000" w:themeColor="text1"/>
          <w:sz w:val="20"/>
          <w:szCs w:val="20"/>
        </w:rPr>
        <w:t>come sopra calcolati;</w:t>
      </w:r>
    </w:p>
    <w:p w:rsidR="00594ED5" w:rsidRPr="00A45056" w:rsidRDefault="00452535" w:rsidP="005B04AD">
      <w:pPr>
        <w:pStyle w:val="Paragrafoelenco"/>
        <w:numPr>
          <w:ilvl w:val="0"/>
          <w:numId w:val="30"/>
        </w:numPr>
        <w:shd w:val="clear" w:color="auto" w:fill="FEFFFF"/>
        <w:spacing w:line="360" w:lineRule="auto"/>
        <w:jc w:val="both"/>
        <w:rPr>
          <w:rFonts w:ascii="Verdana" w:eastAsia="Verdana" w:hAnsi="Verdana" w:cs="Verdana"/>
          <w:bCs/>
          <w:color w:val="000000" w:themeColor="text1"/>
          <w:sz w:val="20"/>
          <w:szCs w:val="20"/>
        </w:rPr>
      </w:pPr>
      <w:r w:rsidRPr="00A45056">
        <w:rPr>
          <w:rFonts w:hAnsi="Verdana"/>
          <w:bCs/>
          <w:color w:val="000000" w:themeColor="text1"/>
          <w:sz w:val="20"/>
          <w:szCs w:val="20"/>
        </w:rPr>
        <w:t>€</w:t>
      </w:r>
      <w:r w:rsidRPr="00A45056">
        <w:rPr>
          <w:rFonts w:hAnsi="Verdana"/>
          <w:bCs/>
          <w:color w:val="000000" w:themeColor="text1"/>
          <w:sz w:val="20"/>
          <w:szCs w:val="20"/>
        </w:rPr>
        <w:t xml:space="preserve"> </w:t>
      </w:r>
      <w:r w:rsidRPr="00A45056">
        <w:rPr>
          <w:rFonts w:ascii="Verdana"/>
          <w:bCs/>
          <w:color w:val="000000" w:themeColor="text1"/>
          <w:sz w:val="20"/>
          <w:szCs w:val="20"/>
        </w:rPr>
        <w:t>6</w:t>
      </w:r>
      <w:r w:rsidR="005E7EEE" w:rsidRPr="00A45056">
        <w:rPr>
          <w:rFonts w:ascii="Verdana"/>
          <w:bCs/>
          <w:color w:val="000000" w:themeColor="text1"/>
          <w:sz w:val="20"/>
          <w:szCs w:val="20"/>
        </w:rPr>
        <w:t>.000,00</w:t>
      </w:r>
      <w:r w:rsidRPr="00A45056">
        <w:rPr>
          <w:rFonts w:ascii="Verdana"/>
          <w:bCs/>
          <w:color w:val="000000" w:themeColor="text1"/>
          <w:sz w:val="20"/>
          <w:szCs w:val="20"/>
        </w:rPr>
        <w:t xml:space="preserve"> </w:t>
      </w:r>
      <w:r w:rsidR="001A030C" w:rsidRPr="00A45056">
        <w:rPr>
          <w:rFonts w:ascii="Verdana"/>
          <w:bCs/>
          <w:color w:val="000000" w:themeColor="text1"/>
          <w:sz w:val="20"/>
          <w:szCs w:val="20"/>
        </w:rPr>
        <w:t xml:space="preserve">per canoni </w:t>
      </w:r>
      <w:r w:rsidRPr="00A45056">
        <w:rPr>
          <w:rFonts w:ascii="Verdana"/>
          <w:bCs/>
          <w:color w:val="000000" w:themeColor="text1"/>
          <w:sz w:val="20"/>
          <w:szCs w:val="20"/>
        </w:rPr>
        <w:t>annui a farmacia</w:t>
      </w:r>
      <w:r w:rsidR="002152F3" w:rsidRPr="00A45056">
        <w:rPr>
          <w:rFonts w:ascii="Verdana"/>
          <w:bCs/>
          <w:color w:val="000000" w:themeColor="text1"/>
          <w:sz w:val="20"/>
          <w:szCs w:val="20"/>
        </w:rPr>
        <w:t xml:space="preserve"> (</w:t>
      </w:r>
      <w:r w:rsidRPr="00A45056">
        <w:rPr>
          <w:rFonts w:ascii="Verdana"/>
          <w:bCs/>
          <w:color w:val="000000" w:themeColor="text1"/>
          <w:sz w:val="20"/>
          <w:szCs w:val="20"/>
        </w:rPr>
        <w:t xml:space="preserve">quindi </w:t>
      </w:r>
      <w:r w:rsidRPr="00A45056">
        <w:rPr>
          <w:rFonts w:hAnsi="Verdana"/>
          <w:bCs/>
          <w:color w:val="000000" w:themeColor="text1"/>
          <w:sz w:val="20"/>
          <w:szCs w:val="20"/>
        </w:rPr>
        <w:t>€</w:t>
      </w:r>
      <w:r w:rsidRPr="00A45056">
        <w:rPr>
          <w:rFonts w:hAnsi="Verdana"/>
          <w:bCs/>
          <w:color w:val="000000" w:themeColor="text1"/>
          <w:sz w:val="20"/>
          <w:szCs w:val="20"/>
        </w:rPr>
        <w:t xml:space="preserve"> </w:t>
      </w:r>
      <w:r w:rsidRPr="00A45056">
        <w:rPr>
          <w:rFonts w:ascii="Verdana"/>
          <w:bCs/>
          <w:color w:val="000000" w:themeColor="text1"/>
          <w:sz w:val="20"/>
          <w:szCs w:val="20"/>
        </w:rPr>
        <w:t>45</w:t>
      </w:r>
      <w:r w:rsidR="005E7EEE" w:rsidRPr="00A45056">
        <w:rPr>
          <w:rFonts w:ascii="Verdana"/>
          <w:bCs/>
          <w:color w:val="000000" w:themeColor="text1"/>
          <w:sz w:val="20"/>
          <w:szCs w:val="20"/>
        </w:rPr>
        <w:t>.000,00</w:t>
      </w:r>
      <w:r w:rsidRPr="00A45056">
        <w:rPr>
          <w:rFonts w:ascii="Verdana"/>
          <w:bCs/>
          <w:color w:val="000000" w:themeColor="text1"/>
          <w:sz w:val="20"/>
          <w:szCs w:val="20"/>
        </w:rPr>
        <w:t xml:space="preserve"> annui in totale</w:t>
      </w:r>
      <w:r w:rsidR="002152F3" w:rsidRPr="00A45056">
        <w:rPr>
          <w:rFonts w:ascii="Verdana"/>
          <w:bCs/>
          <w:color w:val="000000" w:themeColor="text1"/>
          <w:sz w:val="20"/>
          <w:szCs w:val="20"/>
        </w:rPr>
        <w:t>)</w:t>
      </w:r>
      <w:r w:rsidRPr="00A45056">
        <w:rPr>
          <w:rFonts w:ascii="Verdana"/>
          <w:bCs/>
          <w:color w:val="000000" w:themeColor="text1"/>
          <w:sz w:val="20"/>
          <w:szCs w:val="20"/>
        </w:rPr>
        <w:t xml:space="preserve">; dal 2016, con il </w:t>
      </w:r>
      <w:r w:rsidR="002152F3" w:rsidRPr="00A45056">
        <w:rPr>
          <w:rFonts w:ascii="Verdana"/>
          <w:bCs/>
          <w:color w:val="000000" w:themeColor="text1"/>
          <w:sz w:val="20"/>
          <w:szCs w:val="20"/>
        </w:rPr>
        <w:t xml:space="preserve">previsto </w:t>
      </w:r>
      <w:r w:rsidRPr="00A45056">
        <w:rPr>
          <w:rFonts w:ascii="Verdana"/>
          <w:bCs/>
          <w:color w:val="000000" w:themeColor="text1"/>
          <w:sz w:val="20"/>
          <w:szCs w:val="20"/>
        </w:rPr>
        <w:t>raddoppio del canone</w:t>
      </w:r>
      <w:r w:rsidR="00594ED5" w:rsidRPr="00A45056">
        <w:rPr>
          <w:rFonts w:ascii="Verdana"/>
          <w:bCs/>
          <w:color w:val="000000" w:themeColor="text1"/>
          <w:sz w:val="20"/>
          <w:szCs w:val="20"/>
        </w:rPr>
        <w:t xml:space="preserve">, </w:t>
      </w:r>
      <w:r w:rsidR="001A030C" w:rsidRPr="00A45056">
        <w:rPr>
          <w:rFonts w:ascii="Verdana"/>
          <w:bCs/>
          <w:color w:val="000000" w:themeColor="text1"/>
          <w:sz w:val="20"/>
          <w:szCs w:val="20"/>
        </w:rPr>
        <w:t>€</w:t>
      </w:r>
      <w:r w:rsidRPr="00A45056">
        <w:rPr>
          <w:rFonts w:ascii="Verdana"/>
          <w:bCs/>
          <w:color w:val="000000" w:themeColor="text1"/>
          <w:sz w:val="20"/>
          <w:szCs w:val="20"/>
        </w:rPr>
        <w:t xml:space="preserve"> 90</w:t>
      </w:r>
      <w:r w:rsidR="005E7EEE" w:rsidRPr="00A45056">
        <w:rPr>
          <w:rFonts w:ascii="Verdana"/>
          <w:bCs/>
          <w:color w:val="000000" w:themeColor="text1"/>
          <w:sz w:val="20"/>
          <w:szCs w:val="20"/>
        </w:rPr>
        <w:t>.000,00</w:t>
      </w:r>
      <w:r w:rsidRPr="00A45056">
        <w:rPr>
          <w:rFonts w:ascii="Verdana"/>
          <w:bCs/>
          <w:color w:val="000000" w:themeColor="text1"/>
          <w:sz w:val="20"/>
          <w:szCs w:val="20"/>
        </w:rPr>
        <w:t xml:space="preserve"> annui</w:t>
      </w:r>
      <w:r w:rsidR="00020F4F" w:rsidRPr="00A45056">
        <w:rPr>
          <w:rFonts w:ascii="Verdana"/>
          <w:bCs/>
          <w:color w:val="000000" w:themeColor="text1"/>
          <w:sz w:val="20"/>
          <w:szCs w:val="20"/>
        </w:rPr>
        <w:t>.</w:t>
      </w:r>
      <w:r w:rsidRPr="00A45056">
        <w:rPr>
          <w:rFonts w:ascii="Verdana"/>
          <w:bCs/>
          <w:color w:val="000000" w:themeColor="text1"/>
          <w:sz w:val="20"/>
          <w:szCs w:val="20"/>
        </w:rPr>
        <w:t xml:space="preserve"> </w:t>
      </w:r>
    </w:p>
    <w:p w:rsidR="00452535" w:rsidRPr="00A45056" w:rsidRDefault="00594ED5" w:rsidP="002D74DA">
      <w:pPr>
        <w:shd w:val="clear" w:color="auto" w:fill="FEFFFF"/>
        <w:spacing w:line="360" w:lineRule="auto"/>
        <w:ind w:firstLine="354"/>
        <w:jc w:val="both"/>
        <w:rPr>
          <w:rFonts w:ascii="Verdana" w:eastAsia="Verdana" w:hAnsi="Verdana" w:cs="Verdana"/>
          <w:bCs/>
          <w:color w:val="000000" w:themeColor="text1"/>
          <w:sz w:val="20"/>
          <w:szCs w:val="20"/>
        </w:rPr>
      </w:pPr>
      <w:r w:rsidRPr="00A45056">
        <w:rPr>
          <w:rFonts w:ascii="Verdana"/>
          <w:color w:val="000000" w:themeColor="text1"/>
          <w:sz w:val="20"/>
          <w:szCs w:val="20"/>
        </w:rPr>
        <w:t>I</w:t>
      </w:r>
      <w:r w:rsidR="00452535" w:rsidRPr="00A45056">
        <w:rPr>
          <w:rFonts w:ascii="Verdana"/>
          <w:color w:val="000000" w:themeColor="text1"/>
          <w:sz w:val="20"/>
          <w:szCs w:val="20"/>
        </w:rPr>
        <w:t>l</w:t>
      </w:r>
      <w:r w:rsidR="00452535" w:rsidRPr="00A45056">
        <w:rPr>
          <w:rFonts w:ascii="Verdana"/>
          <w:bCs/>
          <w:color w:val="000000" w:themeColor="text1"/>
          <w:sz w:val="20"/>
          <w:szCs w:val="20"/>
        </w:rPr>
        <w:t xml:space="preserve"> CISS</w:t>
      </w:r>
      <w:r w:rsidRPr="00A45056">
        <w:rPr>
          <w:rFonts w:ascii="Verdana"/>
          <w:bCs/>
          <w:color w:val="000000" w:themeColor="text1"/>
          <w:sz w:val="20"/>
          <w:szCs w:val="20"/>
        </w:rPr>
        <w:t>, in definitiva,</w:t>
      </w:r>
      <w:r w:rsidR="00452535" w:rsidRPr="00A45056">
        <w:rPr>
          <w:rFonts w:ascii="Verdana"/>
          <w:bCs/>
          <w:color w:val="000000" w:themeColor="text1"/>
          <w:sz w:val="20"/>
          <w:szCs w:val="20"/>
        </w:rPr>
        <w:t xml:space="preserve"> potrebbe preventivare un introito annuo presuntivo medio di 270</w:t>
      </w:r>
      <w:r w:rsidR="00267C5E" w:rsidRPr="00A45056">
        <w:rPr>
          <w:rFonts w:ascii="Verdana"/>
          <w:bCs/>
          <w:color w:val="000000" w:themeColor="text1"/>
          <w:sz w:val="20"/>
          <w:szCs w:val="20"/>
        </w:rPr>
        <w:t>.000,00</w:t>
      </w:r>
      <w:r w:rsidR="00452535" w:rsidRPr="00A45056">
        <w:rPr>
          <w:rFonts w:ascii="Verdana"/>
          <w:bCs/>
          <w:color w:val="000000" w:themeColor="text1"/>
          <w:sz w:val="20"/>
          <w:szCs w:val="20"/>
        </w:rPr>
        <w:t xml:space="preserve"> fino al 2015, poi 315</w:t>
      </w:r>
      <w:r w:rsidR="00267C5E" w:rsidRPr="00A45056">
        <w:rPr>
          <w:rFonts w:ascii="Verdana"/>
          <w:bCs/>
          <w:color w:val="000000" w:themeColor="text1"/>
          <w:sz w:val="20"/>
          <w:szCs w:val="20"/>
        </w:rPr>
        <w:t>.000,00</w:t>
      </w:r>
      <w:r w:rsidR="00452535" w:rsidRPr="00A45056">
        <w:rPr>
          <w:rFonts w:ascii="Verdana"/>
          <w:bCs/>
          <w:color w:val="000000" w:themeColor="text1"/>
          <w:sz w:val="20"/>
          <w:szCs w:val="20"/>
        </w:rPr>
        <w:t xml:space="preserve"> euro netti all</w:t>
      </w:r>
      <w:r w:rsidR="00452535" w:rsidRPr="00A45056">
        <w:rPr>
          <w:rFonts w:hAnsi="Verdana"/>
          <w:bCs/>
          <w:color w:val="000000" w:themeColor="text1"/>
          <w:sz w:val="20"/>
          <w:szCs w:val="20"/>
        </w:rPr>
        <w:t>’</w:t>
      </w:r>
      <w:r w:rsidR="00452535" w:rsidRPr="00A45056">
        <w:rPr>
          <w:rFonts w:ascii="Verdana"/>
          <w:bCs/>
          <w:color w:val="000000" w:themeColor="text1"/>
          <w:sz w:val="20"/>
          <w:szCs w:val="20"/>
        </w:rPr>
        <w:t>anno.</w:t>
      </w:r>
    </w:p>
    <w:p w:rsidR="0030540C" w:rsidRPr="00A45056" w:rsidRDefault="00EC1744">
      <w:pPr>
        <w:shd w:val="clear" w:color="auto" w:fill="FEFFFF"/>
        <w:spacing w:line="360" w:lineRule="auto"/>
        <w:ind w:firstLine="354"/>
        <w:jc w:val="both"/>
        <w:rPr>
          <w:rFonts w:ascii="Verdana"/>
          <w:color w:val="000000" w:themeColor="text1"/>
          <w:sz w:val="20"/>
          <w:szCs w:val="20"/>
        </w:rPr>
      </w:pPr>
      <w:r>
        <w:rPr>
          <w:rFonts w:ascii="Verdana"/>
          <w:color w:val="000000" w:themeColor="text1"/>
          <w:sz w:val="20"/>
          <w:szCs w:val="20"/>
        </w:rPr>
        <w:t xml:space="preserve">Cionondimeno gli utili effettivi, rispetto al </w:t>
      </w:r>
      <w:r w:rsidRPr="00E2584A">
        <w:rPr>
          <w:rFonts w:ascii="Verdana"/>
          <w:i/>
          <w:color w:val="000000" w:themeColor="text1"/>
          <w:sz w:val="20"/>
          <w:szCs w:val="20"/>
        </w:rPr>
        <w:t>benchmark</w:t>
      </w:r>
      <w:r>
        <w:rPr>
          <w:rFonts w:ascii="Verdana"/>
          <w:color w:val="000000" w:themeColor="text1"/>
          <w:sz w:val="20"/>
          <w:szCs w:val="20"/>
        </w:rPr>
        <w:t xml:space="preserve"> presuntivamente cos</w:t>
      </w:r>
      <w:r>
        <w:rPr>
          <w:rFonts w:ascii="Verdana"/>
          <w:color w:val="000000" w:themeColor="text1"/>
          <w:sz w:val="20"/>
          <w:szCs w:val="20"/>
        </w:rPr>
        <w:t>ì</w:t>
      </w:r>
      <w:r>
        <w:rPr>
          <w:rFonts w:ascii="Verdana"/>
          <w:color w:val="000000" w:themeColor="text1"/>
          <w:sz w:val="20"/>
          <w:szCs w:val="20"/>
        </w:rPr>
        <w:t xml:space="preserve"> ricava</w:t>
      </w:r>
      <w:r w:rsidR="009F20BF">
        <w:rPr>
          <w:rFonts w:ascii="Verdana"/>
          <w:color w:val="000000" w:themeColor="text1"/>
          <w:sz w:val="20"/>
          <w:szCs w:val="20"/>
        </w:rPr>
        <w:t xml:space="preserve">to, </w:t>
      </w:r>
      <w:r>
        <w:rPr>
          <w:rFonts w:ascii="Verdana"/>
          <w:color w:val="000000" w:themeColor="text1"/>
          <w:sz w:val="20"/>
          <w:szCs w:val="20"/>
        </w:rPr>
        <w:t xml:space="preserve">risultano </w:t>
      </w:r>
      <w:r w:rsidR="000E7F3D" w:rsidRPr="00A45056">
        <w:rPr>
          <w:rFonts w:ascii="Verdana"/>
          <w:color w:val="000000" w:themeColor="text1"/>
          <w:sz w:val="20"/>
          <w:szCs w:val="20"/>
        </w:rPr>
        <w:t xml:space="preserve">costantemente </w:t>
      </w:r>
      <w:r w:rsidR="009F20BF">
        <w:rPr>
          <w:rFonts w:ascii="Verdana"/>
          <w:color w:val="000000" w:themeColor="text1"/>
          <w:sz w:val="20"/>
          <w:szCs w:val="20"/>
        </w:rPr>
        <w:t xml:space="preserve">inferiori, </w:t>
      </w:r>
      <w:r w:rsidR="000E7F3D" w:rsidRPr="00A45056">
        <w:rPr>
          <w:rFonts w:ascii="Verdana"/>
          <w:color w:val="000000" w:themeColor="text1"/>
          <w:sz w:val="20"/>
          <w:szCs w:val="20"/>
        </w:rPr>
        <w:t xml:space="preserve">nella misura evidenziata nella Tabella L. </w:t>
      </w:r>
    </w:p>
    <w:p w:rsidR="00264DCB" w:rsidRPr="00A45056" w:rsidRDefault="00264DCB">
      <w:pPr>
        <w:shd w:val="clear" w:color="auto" w:fill="FEFFFF"/>
        <w:spacing w:line="360" w:lineRule="auto"/>
        <w:ind w:firstLine="354"/>
        <w:jc w:val="both"/>
        <w:rPr>
          <w:rFonts w:ascii="Verdana" w:eastAsia="Verdana" w:hAnsi="Verdana" w:cs="Verdana"/>
          <w:color w:val="000000" w:themeColor="text1"/>
          <w:sz w:val="20"/>
          <w:szCs w:val="20"/>
        </w:rPr>
      </w:pPr>
    </w:p>
    <w:p w:rsidR="00264DCB" w:rsidRPr="00A45056" w:rsidRDefault="000E7F3D">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color w:val="000000" w:themeColor="text1"/>
          <w:sz w:val="20"/>
          <w:szCs w:val="20"/>
        </w:rPr>
        <w:t xml:space="preserve">Tabella L. Dati societari </w:t>
      </w:r>
      <w:r w:rsidR="003B4079">
        <w:rPr>
          <w:rFonts w:ascii="Verdana"/>
          <w:color w:val="000000" w:themeColor="text1"/>
          <w:sz w:val="20"/>
          <w:szCs w:val="20"/>
        </w:rPr>
        <w:t>INCOFARMA</w:t>
      </w:r>
      <w:r w:rsidRPr="00A45056">
        <w:rPr>
          <w:rFonts w:ascii="Verdana"/>
          <w:color w:val="000000" w:themeColor="text1"/>
          <w:sz w:val="20"/>
          <w:szCs w:val="20"/>
        </w:rPr>
        <w:t xml:space="preserve">. Fonte. Relazione del </w:t>
      </w:r>
      <w:r w:rsidR="00CB42CF">
        <w:rPr>
          <w:rFonts w:ascii="Verdana"/>
          <w:color w:val="000000" w:themeColor="text1"/>
          <w:sz w:val="20"/>
          <w:szCs w:val="20"/>
        </w:rPr>
        <w:t>D</w:t>
      </w:r>
      <w:r w:rsidRPr="00A45056">
        <w:rPr>
          <w:rFonts w:ascii="Verdana"/>
          <w:color w:val="000000" w:themeColor="text1"/>
          <w:sz w:val="20"/>
          <w:szCs w:val="20"/>
        </w:rPr>
        <w:t>irettore generale</w:t>
      </w:r>
      <w:r w:rsidR="006C4947" w:rsidRPr="00A45056">
        <w:rPr>
          <w:rFonts w:ascii="Verdana"/>
          <w:color w:val="000000" w:themeColor="text1"/>
          <w:sz w:val="20"/>
          <w:szCs w:val="20"/>
        </w:rPr>
        <w:t>/Presidente Cda</w:t>
      </w:r>
      <w:r w:rsidRPr="00A45056">
        <w:rPr>
          <w:rFonts w:ascii="Verdana"/>
          <w:color w:val="000000" w:themeColor="text1"/>
          <w:sz w:val="20"/>
          <w:szCs w:val="20"/>
        </w:rPr>
        <w:t xml:space="preserve"> del CISS. Elaborazione</w:t>
      </w:r>
      <w:r w:rsidR="006C4947" w:rsidRPr="00A45056">
        <w:rPr>
          <w:rFonts w:ascii="Verdana"/>
          <w:color w:val="000000" w:themeColor="text1"/>
          <w:sz w:val="20"/>
          <w:szCs w:val="20"/>
        </w:rPr>
        <w:t xml:space="preserve"> utile presuntivo</w:t>
      </w:r>
      <w:r w:rsidRPr="00A45056">
        <w:rPr>
          <w:rFonts w:ascii="Verdana"/>
          <w:color w:val="000000" w:themeColor="text1"/>
          <w:sz w:val="20"/>
          <w:szCs w:val="20"/>
        </w:rPr>
        <w:t>: Corte dei conti</w:t>
      </w:r>
    </w:p>
    <w:tbl>
      <w:tblPr>
        <w:tblStyle w:val="TableNormal"/>
        <w:tblW w:w="10490" w:type="dxa"/>
        <w:tblInd w:w="-6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1"/>
        <w:gridCol w:w="1114"/>
        <w:gridCol w:w="992"/>
        <w:gridCol w:w="922"/>
        <w:gridCol w:w="921"/>
        <w:gridCol w:w="992"/>
        <w:gridCol w:w="922"/>
        <w:gridCol w:w="921"/>
        <w:gridCol w:w="908"/>
        <w:gridCol w:w="935"/>
        <w:gridCol w:w="992"/>
      </w:tblGrid>
      <w:tr w:rsidR="006F0096" w:rsidRPr="00F63A96" w:rsidTr="006F0096">
        <w:trPr>
          <w:trHeight w:val="328"/>
        </w:trPr>
        <w:tc>
          <w:tcPr>
            <w:tcW w:w="8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3B4079">
            <w:pPr>
              <w:rPr>
                <w:color w:val="000000" w:themeColor="text1"/>
                <w:sz w:val="16"/>
              </w:rPr>
            </w:pPr>
            <w:r>
              <w:rPr>
                <w:rFonts w:ascii="Calibri"/>
                <w:color w:val="000000" w:themeColor="text1"/>
                <w:sz w:val="16"/>
                <w:szCs w:val="20"/>
              </w:rPr>
              <w:lastRenderedPageBreak/>
              <w:t>INCOFARMA</w:t>
            </w:r>
          </w:p>
        </w:tc>
        <w:tc>
          <w:tcPr>
            <w:tcW w:w="111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2005</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2006</w:t>
            </w:r>
          </w:p>
        </w:tc>
        <w:tc>
          <w:tcPr>
            <w:tcW w:w="922"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2007</w:t>
            </w:r>
          </w:p>
        </w:tc>
        <w:tc>
          <w:tcPr>
            <w:tcW w:w="92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2008</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2009</w:t>
            </w:r>
          </w:p>
        </w:tc>
        <w:tc>
          <w:tcPr>
            <w:tcW w:w="922"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2010</w:t>
            </w:r>
          </w:p>
        </w:tc>
        <w:tc>
          <w:tcPr>
            <w:tcW w:w="92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2011</w:t>
            </w:r>
          </w:p>
        </w:tc>
        <w:tc>
          <w:tcPr>
            <w:tcW w:w="908"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2012</w:t>
            </w:r>
          </w:p>
        </w:tc>
        <w:tc>
          <w:tcPr>
            <w:tcW w:w="93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2013</w:t>
            </w:r>
          </w:p>
        </w:tc>
        <w:tc>
          <w:tcPr>
            <w:tcW w:w="992"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jc w:val="right"/>
              <w:rPr>
                <w:color w:val="000000" w:themeColor="text1"/>
                <w:sz w:val="20"/>
              </w:rPr>
            </w:pPr>
            <w:r w:rsidRPr="00F63A96">
              <w:rPr>
                <w:rFonts w:ascii="Calibri"/>
                <w:color w:val="000000" w:themeColor="text1"/>
                <w:sz w:val="20"/>
                <w:szCs w:val="20"/>
              </w:rPr>
              <w:t>2014</w:t>
            </w:r>
          </w:p>
        </w:tc>
      </w:tr>
      <w:tr w:rsidR="003D179E" w:rsidRPr="00F63A96" w:rsidTr="006F0096">
        <w:trPr>
          <w:trHeight w:val="49"/>
        </w:trPr>
        <w:tc>
          <w:tcPr>
            <w:tcW w:w="871"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sz w:val="16"/>
              </w:rPr>
            </w:pPr>
            <w:proofErr w:type="gramStart"/>
            <w:r w:rsidRPr="00F63A96">
              <w:rPr>
                <w:rFonts w:ascii="Calibri"/>
                <w:color w:val="000000" w:themeColor="text1"/>
                <w:sz w:val="16"/>
                <w:szCs w:val="20"/>
              </w:rPr>
              <w:t>utile</w:t>
            </w:r>
            <w:proofErr w:type="gramEnd"/>
          </w:p>
        </w:tc>
        <w:tc>
          <w:tcPr>
            <w:tcW w:w="1114"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b/>
                <w:color w:val="000000" w:themeColor="text1"/>
                <w:sz w:val="16"/>
              </w:rPr>
            </w:pPr>
            <w:r w:rsidRPr="00F63A96">
              <w:rPr>
                <w:rFonts w:ascii="Calibri"/>
                <w:b/>
                <w:color w:val="000000" w:themeColor="text1"/>
                <w:sz w:val="16"/>
                <w:szCs w:val="17"/>
                <w:u w:color="DD0806"/>
              </w:rPr>
              <w:t> </w:t>
            </w:r>
            <w:r w:rsidR="00CA522A" w:rsidRPr="00F63A96">
              <w:rPr>
                <w:rFonts w:ascii="Calibri"/>
                <w:b/>
                <w:color w:val="000000" w:themeColor="text1"/>
                <w:sz w:val="16"/>
                <w:szCs w:val="17"/>
                <w:u w:color="DD0806"/>
              </w:rPr>
              <w:t>-87.269,00</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b/>
                <w:color w:val="000000" w:themeColor="text1"/>
                <w:sz w:val="16"/>
              </w:rPr>
            </w:pPr>
            <w:r w:rsidRPr="00F63A96">
              <w:rPr>
                <w:rFonts w:hAnsi="Calibri"/>
                <w:b/>
                <w:bCs/>
                <w:color w:val="000000" w:themeColor="text1"/>
                <w:sz w:val="16"/>
                <w:szCs w:val="17"/>
              </w:rPr>
              <w:t> </w:t>
            </w:r>
            <w:r w:rsidR="00CA522A" w:rsidRPr="00F63A96">
              <w:rPr>
                <w:rFonts w:ascii="Calibri"/>
                <w:b/>
                <w:color w:val="000000" w:themeColor="text1"/>
                <w:sz w:val="16"/>
                <w:szCs w:val="17"/>
                <w:u w:color="DD0806"/>
              </w:rPr>
              <w:t>302.711,00</w:t>
            </w:r>
          </w:p>
        </w:tc>
        <w:tc>
          <w:tcPr>
            <w:tcW w:w="92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jc w:val="center"/>
              <w:rPr>
                <w:color w:val="000000" w:themeColor="text1"/>
                <w:sz w:val="16"/>
              </w:rPr>
            </w:pPr>
            <w:r w:rsidRPr="00F63A96">
              <w:rPr>
                <w:rFonts w:ascii="Calibri"/>
                <w:b/>
                <w:bCs/>
                <w:color w:val="000000" w:themeColor="text1"/>
                <w:sz w:val="16"/>
                <w:szCs w:val="17"/>
              </w:rPr>
              <w:t>26.129,00</w:t>
            </w:r>
          </w:p>
        </w:tc>
        <w:tc>
          <w:tcPr>
            <w:tcW w:w="92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b/>
                <w:bCs/>
                <w:color w:val="000000" w:themeColor="text1"/>
                <w:sz w:val="16"/>
                <w:szCs w:val="17"/>
              </w:rPr>
              <w:t>15.828,00</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b/>
                <w:bCs/>
                <w:color w:val="000000" w:themeColor="text1"/>
                <w:sz w:val="16"/>
                <w:szCs w:val="17"/>
              </w:rPr>
              <w:t>26.044,00</w:t>
            </w:r>
          </w:p>
        </w:tc>
        <w:tc>
          <w:tcPr>
            <w:tcW w:w="92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b/>
                <w:bCs/>
                <w:color w:val="000000" w:themeColor="text1"/>
                <w:sz w:val="16"/>
                <w:szCs w:val="17"/>
              </w:rPr>
              <w:t>387.725,00</w:t>
            </w:r>
          </w:p>
        </w:tc>
        <w:tc>
          <w:tcPr>
            <w:tcW w:w="92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b/>
                <w:bCs/>
                <w:color w:val="000000" w:themeColor="text1"/>
                <w:sz w:val="16"/>
                <w:szCs w:val="17"/>
              </w:rPr>
              <w:t>26</w:t>
            </w:r>
            <w:r w:rsidR="001C1E72" w:rsidRPr="00F63A96">
              <w:rPr>
                <w:rFonts w:ascii="Calibri"/>
                <w:b/>
                <w:bCs/>
                <w:color w:val="000000" w:themeColor="text1"/>
                <w:sz w:val="16"/>
                <w:szCs w:val="17"/>
              </w:rPr>
              <w:t>5.541</w:t>
            </w:r>
            <w:r w:rsidRPr="00F63A96">
              <w:rPr>
                <w:rFonts w:ascii="Calibri"/>
                <w:b/>
                <w:bCs/>
                <w:color w:val="000000" w:themeColor="text1"/>
                <w:sz w:val="16"/>
                <w:szCs w:val="17"/>
              </w:rPr>
              <w:t>,0</w:t>
            </w:r>
            <w:r w:rsidR="001C1E72" w:rsidRPr="00F63A96">
              <w:rPr>
                <w:rFonts w:ascii="Calibri"/>
                <w:b/>
                <w:bCs/>
                <w:color w:val="000000" w:themeColor="text1"/>
                <w:sz w:val="16"/>
                <w:szCs w:val="17"/>
              </w:rPr>
              <w:t>6</w:t>
            </w:r>
          </w:p>
        </w:tc>
        <w:tc>
          <w:tcPr>
            <w:tcW w:w="908"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b/>
                <w:bCs/>
                <w:color w:val="000000" w:themeColor="text1"/>
                <w:sz w:val="16"/>
                <w:szCs w:val="17"/>
              </w:rPr>
              <w:t>286.008,00</w:t>
            </w:r>
          </w:p>
        </w:tc>
        <w:tc>
          <w:tcPr>
            <w:tcW w:w="93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b/>
                <w:bCs/>
                <w:color w:val="000000" w:themeColor="text1"/>
                <w:sz w:val="16"/>
                <w:szCs w:val="17"/>
              </w:rPr>
              <w:t>332.281,00</w:t>
            </w:r>
          </w:p>
        </w:tc>
        <w:tc>
          <w:tcPr>
            <w:tcW w:w="992"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b/>
                <w:bCs/>
                <w:color w:val="000000" w:themeColor="text1"/>
                <w:sz w:val="16"/>
                <w:szCs w:val="17"/>
              </w:rPr>
              <w:t> </w:t>
            </w:r>
            <w:r w:rsidR="001C1E72" w:rsidRPr="00F63A96">
              <w:rPr>
                <w:rFonts w:hAnsi="Calibri"/>
                <w:b/>
                <w:bCs/>
                <w:color w:val="000000" w:themeColor="text1"/>
                <w:sz w:val="16"/>
                <w:szCs w:val="17"/>
              </w:rPr>
              <w:t>259.399,00</w:t>
            </w:r>
          </w:p>
        </w:tc>
      </w:tr>
      <w:tr w:rsidR="003D179E" w:rsidRPr="00F63A96" w:rsidTr="006F0096">
        <w:trPr>
          <w:trHeight w:val="21"/>
        </w:trPr>
        <w:tc>
          <w:tcPr>
            <w:tcW w:w="871"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sz w:val="16"/>
              </w:rPr>
            </w:pPr>
            <w:proofErr w:type="gramStart"/>
            <w:r w:rsidRPr="00F63A96">
              <w:rPr>
                <w:rFonts w:ascii="Calibri"/>
                <w:color w:val="000000" w:themeColor="text1"/>
                <w:sz w:val="16"/>
                <w:szCs w:val="20"/>
              </w:rPr>
              <w:t>utile</w:t>
            </w:r>
            <w:proofErr w:type="gramEnd"/>
            <w:r w:rsidRPr="00F63A96">
              <w:rPr>
                <w:rFonts w:ascii="Calibri"/>
                <w:color w:val="000000" w:themeColor="text1"/>
                <w:sz w:val="16"/>
                <w:szCs w:val="20"/>
              </w:rPr>
              <w:t xml:space="preserve"> lordo</w:t>
            </w:r>
          </w:p>
        </w:tc>
        <w:tc>
          <w:tcPr>
            <w:tcW w:w="111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u w:color="DD0806"/>
              </w:rPr>
              <w:t>-87.829,00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5C37A0" w:rsidP="008C6EE4">
            <w:pPr>
              <w:spacing w:line="240" w:lineRule="atLeast"/>
              <w:rPr>
                <w:color w:val="000000" w:themeColor="text1"/>
                <w:sz w:val="16"/>
              </w:rPr>
            </w:pPr>
            <w:r w:rsidRPr="00F63A96">
              <w:rPr>
                <w:color w:val="000000" w:themeColor="text1"/>
                <w:sz w:val="16"/>
              </w:rPr>
              <w:t>298.158,00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76.847,00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59.777,00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63.858,00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609.066,00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501.517,00</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494.591,00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586.401,00</w:t>
            </w:r>
          </w:p>
        </w:tc>
        <w:tc>
          <w:tcPr>
            <w:tcW w:w="992"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w:t>
            </w:r>
            <w:r w:rsidR="001C1E72" w:rsidRPr="00F63A96">
              <w:rPr>
                <w:rFonts w:hAnsi="Calibri"/>
                <w:color w:val="000000" w:themeColor="text1"/>
                <w:sz w:val="16"/>
                <w:szCs w:val="17"/>
              </w:rPr>
              <w:t>460.888,00</w:t>
            </w:r>
          </w:p>
        </w:tc>
      </w:tr>
      <w:tr w:rsidR="003D179E" w:rsidRPr="00F63A96" w:rsidTr="006F0096">
        <w:trPr>
          <w:trHeight w:val="142"/>
        </w:trPr>
        <w:tc>
          <w:tcPr>
            <w:tcW w:w="871"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sz w:val="16"/>
              </w:rPr>
            </w:pPr>
            <w:proofErr w:type="gramStart"/>
            <w:r w:rsidRPr="00F63A96">
              <w:rPr>
                <w:rFonts w:ascii="Calibri"/>
                <w:color w:val="000000" w:themeColor="text1"/>
                <w:sz w:val="16"/>
                <w:szCs w:val="20"/>
              </w:rPr>
              <w:t>numero</w:t>
            </w:r>
            <w:proofErr w:type="gramEnd"/>
            <w:r w:rsidRPr="00F63A96">
              <w:rPr>
                <w:rFonts w:ascii="Calibri"/>
                <w:color w:val="000000" w:themeColor="text1"/>
                <w:sz w:val="16"/>
                <w:szCs w:val="20"/>
              </w:rPr>
              <w:t xml:space="preserve"> farmacie</w:t>
            </w:r>
          </w:p>
        </w:tc>
        <w:tc>
          <w:tcPr>
            <w:tcW w:w="111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8D3B96" w:rsidP="008D3B96">
            <w:pPr>
              <w:spacing w:line="240" w:lineRule="atLeast"/>
              <w:jc w:val="right"/>
              <w:rPr>
                <w:rFonts w:ascii="Calibri"/>
                <w:color w:val="000000" w:themeColor="text1"/>
                <w:sz w:val="16"/>
                <w:szCs w:val="17"/>
              </w:rPr>
            </w:pPr>
            <w:r w:rsidRPr="00F63A96">
              <w:rPr>
                <w:rFonts w:ascii="Calibri"/>
                <w:color w:val="000000" w:themeColor="text1"/>
                <w:sz w:val="16"/>
                <w:szCs w:val="17"/>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8D3B96" w:rsidP="008D3B96">
            <w:pPr>
              <w:spacing w:line="240" w:lineRule="atLeast"/>
              <w:jc w:val="right"/>
              <w:rPr>
                <w:rFonts w:ascii="Calibri"/>
                <w:color w:val="000000" w:themeColor="text1"/>
                <w:sz w:val="16"/>
                <w:szCs w:val="17"/>
              </w:rPr>
            </w:pPr>
            <w:r w:rsidRPr="00F63A96">
              <w:rPr>
                <w:rFonts w:ascii="Calibri"/>
                <w:color w:val="000000" w:themeColor="text1"/>
                <w:sz w:val="16"/>
                <w:szCs w:val="17"/>
              </w:rPr>
              <w:t>6</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8D3B96" w:rsidP="008D3B96">
            <w:pPr>
              <w:spacing w:line="240" w:lineRule="atLeast"/>
              <w:jc w:val="right"/>
              <w:rPr>
                <w:rFonts w:ascii="Calibri"/>
                <w:color w:val="000000" w:themeColor="text1"/>
                <w:sz w:val="16"/>
                <w:szCs w:val="17"/>
              </w:rPr>
            </w:pPr>
            <w:r w:rsidRPr="00F63A96">
              <w:rPr>
                <w:rFonts w:ascii="Calibri"/>
                <w:color w:val="000000" w:themeColor="text1"/>
                <w:sz w:val="16"/>
                <w:szCs w:val="17"/>
              </w:rPr>
              <w:t>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8D3B96" w:rsidP="008D3B96">
            <w:pPr>
              <w:spacing w:line="240" w:lineRule="atLeast"/>
              <w:jc w:val="right"/>
              <w:rPr>
                <w:rFonts w:ascii="Calibri"/>
                <w:color w:val="000000" w:themeColor="text1"/>
                <w:sz w:val="16"/>
                <w:szCs w:val="17"/>
              </w:rPr>
            </w:pPr>
            <w:r w:rsidRPr="00F63A96">
              <w:rPr>
                <w:rFonts w:ascii="Calibri"/>
                <w:color w:val="000000" w:themeColor="text1"/>
                <w:sz w:val="16"/>
                <w:szCs w:val="17"/>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8D3B96" w:rsidP="008D3B96">
            <w:pPr>
              <w:spacing w:line="240" w:lineRule="atLeast"/>
              <w:jc w:val="right"/>
              <w:rPr>
                <w:rFonts w:ascii="Calibri"/>
                <w:color w:val="000000" w:themeColor="text1"/>
                <w:sz w:val="16"/>
                <w:szCs w:val="17"/>
              </w:rPr>
            </w:pPr>
            <w:r w:rsidRPr="00F63A96">
              <w:rPr>
                <w:rFonts w:ascii="Calibri"/>
                <w:color w:val="000000" w:themeColor="text1"/>
                <w:sz w:val="16"/>
                <w:szCs w:val="17"/>
              </w:rPr>
              <w:t>11</w:t>
            </w:r>
            <w:r w:rsidR="000E7F3D" w:rsidRPr="00F63A96">
              <w:rPr>
                <w:rFonts w:ascii="Calibri"/>
                <w:color w:val="000000" w:themeColor="text1"/>
                <w:sz w:val="16"/>
                <w:szCs w:val="17"/>
              </w:rPr>
              <w:t>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jc w:val="right"/>
              <w:rPr>
                <w:color w:val="000000" w:themeColor="text1"/>
                <w:sz w:val="16"/>
              </w:rPr>
            </w:pPr>
            <w:r w:rsidRPr="00F63A96">
              <w:rPr>
                <w:rFonts w:ascii="Calibri"/>
                <w:color w:val="000000" w:themeColor="text1"/>
                <w:sz w:val="16"/>
                <w:szCs w:val="17"/>
              </w:rPr>
              <w:t>11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jc w:val="right"/>
              <w:rPr>
                <w:color w:val="000000" w:themeColor="text1"/>
                <w:sz w:val="16"/>
              </w:rPr>
            </w:pPr>
            <w:r w:rsidRPr="00F63A96">
              <w:rPr>
                <w:rFonts w:ascii="Calibri"/>
                <w:color w:val="000000" w:themeColor="text1"/>
                <w:sz w:val="16"/>
                <w:szCs w:val="17"/>
              </w:rPr>
              <w:t>12</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jc w:val="right"/>
              <w:rPr>
                <w:color w:val="000000" w:themeColor="text1"/>
                <w:sz w:val="16"/>
              </w:rPr>
            </w:pPr>
            <w:r w:rsidRPr="00F63A96">
              <w:rPr>
                <w:rFonts w:ascii="Calibri"/>
                <w:color w:val="000000" w:themeColor="text1"/>
                <w:sz w:val="16"/>
                <w:szCs w:val="17"/>
              </w:rPr>
              <w:t>13</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jc w:val="right"/>
              <w:rPr>
                <w:color w:val="000000" w:themeColor="text1"/>
                <w:sz w:val="16"/>
              </w:rPr>
            </w:pPr>
            <w:r w:rsidRPr="00F63A96">
              <w:rPr>
                <w:rFonts w:ascii="Calibri"/>
                <w:color w:val="000000" w:themeColor="text1"/>
                <w:sz w:val="16"/>
                <w:szCs w:val="17"/>
              </w:rPr>
              <w:t>14</w:t>
            </w:r>
          </w:p>
        </w:tc>
        <w:tc>
          <w:tcPr>
            <w:tcW w:w="992"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15</w:t>
            </w:r>
          </w:p>
        </w:tc>
      </w:tr>
      <w:tr w:rsidR="003D179E" w:rsidRPr="00F63A96" w:rsidTr="006F0096">
        <w:trPr>
          <w:trHeight w:val="21"/>
        </w:trPr>
        <w:tc>
          <w:tcPr>
            <w:tcW w:w="871"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pPr>
              <w:rPr>
                <w:color w:val="000000" w:themeColor="text1"/>
                <w:sz w:val="16"/>
              </w:rPr>
            </w:pPr>
            <w:proofErr w:type="gramStart"/>
            <w:r w:rsidRPr="00F63A96">
              <w:rPr>
                <w:rFonts w:ascii="Calibri"/>
                <w:color w:val="000000" w:themeColor="text1"/>
                <w:sz w:val="16"/>
                <w:szCs w:val="20"/>
              </w:rPr>
              <w:t>utile</w:t>
            </w:r>
            <w:proofErr w:type="gramEnd"/>
            <w:r w:rsidRPr="00F63A96">
              <w:rPr>
                <w:rFonts w:ascii="Calibri"/>
                <w:color w:val="000000" w:themeColor="text1"/>
                <w:sz w:val="16"/>
                <w:szCs w:val="20"/>
              </w:rPr>
              <w:t xml:space="preserve"> netto  presuntivo</w:t>
            </w:r>
          </w:p>
        </w:tc>
        <w:tc>
          <w:tcPr>
            <w:tcW w:w="111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xml:space="preserve"> </w:t>
            </w:r>
            <w:r w:rsidRPr="00F63A96">
              <w:rPr>
                <w:rFonts w:ascii="Calibri"/>
                <w:color w:val="000000" w:themeColor="text1"/>
                <w:sz w:val="16"/>
                <w:szCs w:val="17"/>
              </w:rPr>
              <w:t xml:space="preserve">660.000,00 </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xml:space="preserve"> </w:t>
            </w:r>
            <w:r w:rsidRPr="00F63A96">
              <w:rPr>
                <w:rFonts w:ascii="Calibri"/>
                <w:color w:val="000000" w:themeColor="text1"/>
                <w:sz w:val="16"/>
                <w:szCs w:val="17"/>
              </w:rPr>
              <w:t xml:space="preserve">720.000,00 </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xml:space="preserve"> </w:t>
            </w:r>
            <w:r w:rsidRPr="00F63A96">
              <w:rPr>
                <w:rFonts w:ascii="Calibri"/>
                <w:color w:val="000000" w:themeColor="text1"/>
                <w:sz w:val="16"/>
                <w:szCs w:val="17"/>
              </w:rPr>
              <w:t xml:space="preserve">780.000,00 </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hAnsi="Calibri"/>
                <w:color w:val="000000" w:themeColor="text1"/>
                <w:sz w:val="16"/>
                <w:szCs w:val="17"/>
              </w:rPr>
              <w:t xml:space="preserve"> </w:t>
            </w:r>
            <w:r w:rsidRPr="00F63A96">
              <w:rPr>
                <w:rFonts w:ascii="Calibri"/>
                <w:color w:val="000000" w:themeColor="text1"/>
                <w:sz w:val="16"/>
                <w:szCs w:val="17"/>
              </w:rPr>
              <w:t xml:space="preserve">840.000,00 </w:t>
            </w:r>
          </w:p>
        </w:tc>
        <w:tc>
          <w:tcPr>
            <w:tcW w:w="992"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264DCB" w:rsidRPr="00F63A96" w:rsidRDefault="000E7F3D" w:rsidP="008C6EE4">
            <w:pPr>
              <w:spacing w:line="240" w:lineRule="atLeast"/>
              <w:rPr>
                <w:color w:val="000000" w:themeColor="text1"/>
                <w:sz w:val="16"/>
              </w:rPr>
            </w:pPr>
            <w:r w:rsidRPr="00F63A96">
              <w:rPr>
                <w:rFonts w:ascii="Calibri"/>
                <w:color w:val="000000" w:themeColor="text1"/>
                <w:sz w:val="16"/>
                <w:szCs w:val="17"/>
              </w:rPr>
              <w:t>900.000,00</w:t>
            </w:r>
          </w:p>
        </w:tc>
      </w:tr>
      <w:tr w:rsidR="006D3402" w:rsidRPr="00F63A96" w:rsidTr="006F0096">
        <w:trPr>
          <w:trHeight w:val="21"/>
        </w:trPr>
        <w:tc>
          <w:tcPr>
            <w:tcW w:w="871"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3402" w:rsidRPr="00F63A96" w:rsidRDefault="006D3402">
            <w:pPr>
              <w:rPr>
                <w:color w:val="000000" w:themeColor="text1"/>
                <w:sz w:val="16"/>
              </w:rPr>
            </w:pPr>
            <w:proofErr w:type="gramStart"/>
            <w:r w:rsidRPr="00F63A96">
              <w:rPr>
                <w:rFonts w:ascii="Calibri"/>
                <w:color w:val="000000" w:themeColor="text1"/>
                <w:sz w:val="16"/>
                <w:szCs w:val="20"/>
              </w:rPr>
              <w:t>differenza</w:t>
            </w:r>
            <w:proofErr w:type="gramEnd"/>
          </w:p>
        </w:tc>
        <w:tc>
          <w:tcPr>
            <w:tcW w:w="111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3402" w:rsidRPr="00F63A96" w:rsidRDefault="006D3402" w:rsidP="008C6EE4">
            <w:pPr>
              <w:spacing w:line="240" w:lineRule="atLeast"/>
              <w:rPr>
                <w:color w:val="000000" w:themeColor="text1"/>
                <w:sz w:val="16"/>
              </w:rPr>
            </w:pPr>
            <w:r w:rsidRPr="00F63A96">
              <w:rPr>
                <w:rFonts w:hAnsi="Calibri"/>
                <w:color w:val="000000" w:themeColor="text1"/>
                <w:sz w:val="16"/>
                <w:szCs w:val="17"/>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3402" w:rsidRPr="00F63A96" w:rsidRDefault="006D3402" w:rsidP="008C6EE4">
            <w:pPr>
              <w:spacing w:line="240" w:lineRule="atLeast"/>
              <w:rPr>
                <w:color w:val="000000" w:themeColor="text1"/>
                <w:sz w:val="16"/>
              </w:rPr>
            </w:pPr>
            <w:r w:rsidRPr="00F63A96">
              <w:rPr>
                <w:rFonts w:hAnsi="Calibri"/>
                <w:color w:val="000000" w:themeColor="text1"/>
                <w:sz w:val="16"/>
                <w:szCs w:val="17"/>
              </w:rPr>
              <w:t>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3402" w:rsidRPr="00F63A96" w:rsidRDefault="006D3402" w:rsidP="008C6EE4">
            <w:pPr>
              <w:spacing w:line="240" w:lineRule="atLeast"/>
              <w:rPr>
                <w:color w:val="000000" w:themeColor="text1"/>
                <w:sz w:val="16"/>
              </w:rPr>
            </w:pPr>
            <w:r w:rsidRPr="00F63A96">
              <w:rPr>
                <w:rFonts w:hAnsi="Calibri"/>
                <w:color w:val="000000" w:themeColor="text1"/>
                <w:sz w:val="16"/>
                <w:szCs w:val="17"/>
              </w:rPr>
              <w:t> </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3402" w:rsidRPr="00F63A96" w:rsidRDefault="006D3402" w:rsidP="008C6EE4">
            <w:pPr>
              <w:spacing w:line="240" w:lineRule="atLeast"/>
              <w:rPr>
                <w:color w:val="000000" w:themeColor="text1"/>
                <w:sz w:val="16"/>
              </w:rPr>
            </w:pPr>
            <w:r w:rsidRPr="00F63A96">
              <w:rPr>
                <w:rFonts w:hAnsi="Calibri"/>
                <w:color w:val="000000" w:themeColor="text1"/>
                <w:sz w:val="16"/>
                <w:szCs w:val="17"/>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3402" w:rsidRPr="00F63A96" w:rsidRDefault="006D3402" w:rsidP="008C6EE4">
            <w:pPr>
              <w:spacing w:line="240" w:lineRule="atLeast"/>
              <w:rPr>
                <w:color w:val="000000" w:themeColor="text1"/>
                <w:sz w:val="16"/>
              </w:rPr>
            </w:pPr>
            <w:r w:rsidRPr="00F63A96">
              <w:rPr>
                <w:rFonts w:hAnsi="Calibri"/>
                <w:color w:val="000000" w:themeColor="text1"/>
                <w:sz w:val="16"/>
                <w:szCs w:val="17"/>
              </w:rPr>
              <w:t>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402" w:rsidRPr="00F63A96" w:rsidRDefault="006D3402" w:rsidP="008C6EE4">
            <w:pPr>
              <w:spacing w:line="240" w:lineRule="atLeast"/>
              <w:rPr>
                <w:rFonts w:ascii="Calibri"/>
                <w:color w:val="000000" w:themeColor="text1"/>
                <w:sz w:val="15"/>
                <w:szCs w:val="17"/>
                <w:u w:color="DD0806"/>
              </w:rPr>
            </w:pPr>
            <w:r w:rsidRPr="00F63A96">
              <w:rPr>
                <w:rFonts w:ascii="Calibri"/>
                <w:color w:val="000000" w:themeColor="text1"/>
                <w:sz w:val="15"/>
                <w:szCs w:val="17"/>
                <w:u w:color="DD0806"/>
              </w:rPr>
              <w:t>-272.275,00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402" w:rsidRPr="00F63A96" w:rsidRDefault="006D3402" w:rsidP="008C6EE4">
            <w:pPr>
              <w:spacing w:line="240" w:lineRule="atLeast"/>
              <w:rPr>
                <w:rFonts w:ascii="Calibri"/>
                <w:color w:val="000000" w:themeColor="text1"/>
                <w:sz w:val="15"/>
                <w:szCs w:val="17"/>
                <w:u w:color="DD0806"/>
              </w:rPr>
            </w:pPr>
            <w:r w:rsidRPr="00F63A96">
              <w:rPr>
                <w:rFonts w:ascii="Calibri"/>
                <w:color w:val="000000" w:themeColor="text1"/>
                <w:sz w:val="15"/>
                <w:szCs w:val="17"/>
                <w:u w:color="DD0806"/>
              </w:rPr>
              <w:t>-454.458,94</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402" w:rsidRPr="00F63A96" w:rsidRDefault="006D3402" w:rsidP="008C6EE4">
            <w:pPr>
              <w:spacing w:line="240" w:lineRule="atLeast"/>
              <w:rPr>
                <w:rFonts w:ascii="Calibri"/>
                <w:color w:val="000000" w:themeColor="text1"/>
                <w:sz w:val="15"/>
                <w:szCs w:val="17"/>
                <w:u w:color="DD0806"/>
              </w:rPr>
            </w:pPr>
            <w:r w:rsidRPr="00F63A96">
              <w:rPr>
                <w:rFonts w:ascii="Calibri"/>
                <w:color w:val="000000" w:themeColor="text1"/>
                <w:sz w:val="15"/>
                <w:szCs w:val="17"/>
                <w:u w:color="DD0806"/>
              </w:rPr>
              <w:t>-493.992,00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402" w:rsidRPr="00F63A96" w:rsidRDefault="006D3402" w:rsidP="008C6EE4">
            <w:pPr>
              <w:spacing w:line="240" w:lineRule="atLeast"/>
              <w:rPr>
                <w:rFonts w:ascii="Calibri"/>
                <w:color w:val="000000" w:themeColor="text1"/>
                <w:sz w:val="15"/>
                <w:szCs w:val="17"/>
                <w:u w:color="DD0806"/>
              </w:rPr>
            </w:pPr>
            <w:r w:rsidRPr="00F63A96">
              <w:rPr>
                <w:rFonts w:ascii="Calibri"/>
                <w:color w:val="000000" w:themeColor="text1"/>
                <w:sz w:val="15"/>
                <w:szCs w:val="17"/>
                <w:u w:color="DD0806"/>
              </w:rPr>
              <w:t>-507.719,00</w:t>
            </w:r>
          </w:p>
        </w:tc>
        <w:tc>
          <w:tcPr>
            <w:tcW w:w="992"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6D3402" w:rsidRPr="00F63A96" w:rsidRDefault="006D3402" w:rsidP="008C6EE4">
            <w:pPr>
              <w:spacing w:line="240" w:lineRule="atLeast"/>
              <w:rPr>
                <w:rFonts w:ascii="Calibri"/>
                <w:color w:val="000000" w:themeColor="text1"/>
                <w:sz w:val="15"/>
                <w:szCs w:val="17"/>
                <w:u w:color="DD0806"/>
              </w:rPr>
            </w:pPr>
            <w:r w:rsidRPr="00F63A96">
              <w:rPr>
                <w:rFonts w:ascii="Calibri"/>
                <w:color w:val="000000" w:themeColor="text1"/>
                <w:sz w:val="15"/>
                <w:szCs w:val="17"/>
                <w:u w:color="DD0806"/>
              </w:rPr>
              <w:t>-640.601,00</w:t>
            </w:r>
          </w:p>
        </w:tc>
      </w:tr>
    </w:tbl>
    <w:p w:rsidR="00264DCB" w:rsidRPr="00F63A96" w:rsidRDefault="00264DCB">
      <w:pPr>
        <w:shd w:val="clear" w:color="auto" w:fill="FEFFFF"/>
        <w:spacing w:line="360" w:lineRule="auto"/>
        <w:ind w:firstLine="354"/>
        <w:jc w:val="both"/>
        <w:rPr>
          <w:rFonts w:ascii="Verdana" w:eastAsia="Verdana" w:hAnsi="Verdana" w:cs="Verdana"/>
          <w:color w:val="000000" w:themeColor="text1"/>
          <w:sz w:val="20"/>
          <w:szCs w:val="20"/>
        </w:rPr>
      </w:pPr>
    </w:p>
    <w:p w:rsidR="006E3327" w:rsidRPr="00A45056" w:rsidRDefault="006E3327" w:rsidP="007116ED">
      <w:pPr>
        <w:shd w:val="clear" w:color="auto" w:fill="FEFFFF"/>
        <w:spacing w:line="360" w:lineRule="auto"/>
        <w:ind w:firstLine="354"/>
        <w:jc w:val="both"/>
        <w:rPr>
          <w:rFonts w:ascii="Verdana" w:hAnsi="Verdana"/>
          <w:bCs/>
          <w:color w:val="000000" w:themeColor="text1"/>
          <w:sz w:val="20"/>
          <w:szCs w:val="20"/>
        </w:rPr>
      </w:pPr>
      <w:r w:rsidRPr="00A45056">
        <w:rPr>
          <w:rFonts w:ascii="Verdana" w:hAnsi="Verdana"/>
          <w:bCs/>
          <w:color w:val="000000" w:themeColor="text1"/>
          <w:sz w:val="20"/>
          <w:szCs w:val="20"/>
        </w:rPr>
        <w:t>A contestazione del ragionamento</w:t>
      </w:r>
      <w:r w:rsidR="0077450E" w:rsidRPr="00A45056">
        <w:rPr>
          <w:rFonts w:ascii="Verdana" w:hAnsi="Verdana"/>
          <w:bCs/>
          <w:color w:val="000000" w:themeColor="text1"/>
          <w:sz w:val="20"/>
          <w:szCs w:val="20"/>
        </w:rPr>
        <w:t xml:space="preserve"> induttivo, peraltro, nella </w:t>
      </w:r>
      <w:r w:rsidR="007767E7" w:rsidRPr="00A45056">
        <w:rPr>
          <w:rFonts w:ascii="Verdana" w:hAnsi="Verdana"/>
          <w:bCs/>
          <w:color w:val="000000" w:themeColor="text1"/>
          <w:sz w:val="20"/>
          <w:szCs w:val="20"/>
        </w:rPr>
        <w:t xml:space="preserve">nota </w:t>
      </w:r>
      <w:proofErr w:type="spellStart"/>
      <w:r w:rsidR="007767E7" w:rsidRPr="00A45056">
        <w:rPr>
          <w:rFonts w:ascii="Verdana" w:hAnsi="Verdana"/>
          <w:bCs/>
          <w:color w:val="000000" w:themeColor="text1"/>
          <w:sz w:val="20"/>
          <w:szCs w:val="20"/>
        </w:rPr>
        <w:t>prot</w:t>
      </w:r>
      <w:proofErr w:type="spellEnd"/>
      <w:r w:rsidR="007767E7" w:rsidRPr="00A45056">
        <w:rPr>
          <w:rFonts w:ascii="Verdana" w:hAnsi="Verdana"/>
          <w:bCs/>
          <w:color w:val="000000" w:themeColor="text1"/>
          <w:sz w:val="20"/>
          <w:szCs w:val="20"/>
        </w:rPr>
        <w:t xml:space="preserve">. CISS </w:t>
      </w:r>
      <w:r w:rsidR="00EB5AF4">
        <w:rPr>
          <w:rFonts w:ascii="Verdana" w:hAnsi="Verdana"/>
          <w:bCs/>
          <w:color w:val="000000" w:themeColor="text1"/>
          <w:sz w:val="20"/>
          <w:szCs w:val="20"/>
        </w:rPr>
        <w:t xml:space="preserve">n. </w:t>
      </w:r>
      <w:r w:rsidR="007767E7" w:rsidRPr="00A45056">
        <w:rPr>
          <w:rFonts w:ascii="Verdana" w:hAnsi="Verdana"/>
          <w:bCs/>
          <w:color w:val="000000" w:themeColor="text1"/>
          <w:sz w:val="20"/>
          <w:szCs w:val="20"/>
        </w:rPr>
        <w:t xml:space="preserve">2329 del 12/11/2015 (relazione del </w:t>
      </w:r>
      <w:r w:rsidR="0087468A" w:rsidRPr="00A45056">
        <w:rPr>
          <w:rFonts w:ascii="Verdana" w:hAnsi="Verdana"/>
          <w:bCs/>
          <w:color w:val="000000" w:themeColor="text1"/>
          <w:sz w:val="20"/>
          <w:szCs w:val="20"/>
        </w:rPr>
        <w:t xml:space="preserve">Presidente del CDA e del </w:t>
      </w:r>
      <w:r w:rsidR="007767E7" w:rsidRPr="00A45056">
        <w:rPr>
          <w:rFonts w:ascii="Verdana" w:hAnsi="Verdana"/>
          <w:bCs/>
          <w:color w:val="000000" w:themeColor="text1"/>
          <w:sz w:val="20"/>
          <w:szCs w:val="20"/>
        </w:rPr>
        <w:t xml:space="preserve">Direttore generale a valle </w:t>
      </w:r>
      <w:r w:rsidR="00EB5AF4" w:rsidRPr="00A45056">
        <w:rPr>
          <w:rFonts w:ascii="Verdana" w:hAnsi="Verdana"/>
          <w:bCs/>
          <w:color w:val="000000" w:themeColor="text1"/>
          <w:sz w:val="20"/>
          <w:szCs w:val="20"/>
        </w:rPr>
        <w:t>dell’</w:t>
      </w:r>
      <w:r w:rsidR="007767E7" w:rsidRPr="00A45056">
        <w:rPr>
          <w:rFonts w:ascii="Verdana" w:hAnsi="Verdana"/>
          <w:bCs/>
          <w:color w:val="000000" w:themeColor="text1"/>
          <w:sz w:val="20"/>
          <w:szCs w:val="20"/>
        </w:rPr>
        <w:t xml:space="preserve">ordinanza collegiale n. 218/2015) </w:t>
      </w:r>
      <w:r w:rsidR="002E78CC" w:rsidRPr="00A45056">
        <w:rPr>
          <w:rFonts w:ascii="Verdana" w:hAnsi="Verdana"/>
          <w:bCs/>
          <w:color w:val="000000" w:themeColor="text1"/>
          <w:sz w:val="20"/>
          <w:szCs w:val="20"/>
        </w:rPr>
        <w:t>si è precisato</w:t>
      </w:r>
      <w:r w:rsidR="0077450E" w:rsidRPr="00A45056">
        <w:rPr>
          <w:rFonts w:ascii="Verdana" w:hAnsi="Verdana"/>
          <w:bCs/>
          <w:color w:val="000000" w:themeColor="text1"/>
          <w:sz w:val="20"/>
          <w:szCs w:val="20"/>
        </w:rPr>
        <w:t xml:space="preserve"> che la quantificazione del danno alla base del</w:t>
      </w:r>
      <w:r w:rsidR="00860C03" w:rsidRPr="00A45056">
        <w:rPr>
          <w:rFonts w:ascii="Verdana" w:hAnsi="Verdana"/>
          <w:bCs/>
          <w:color w:val="000000" w:themeColor="text1"/>
          <w:sz w:val="20"/>
          <w:szCs w:val="20"/>
        </w:rPr>
        <w:t>l</w:t>
      </w:r>
      <w:r w:rsidR="0077450E" w:rsidRPr="00A45056">
        <w:rPr>
          <w:rFonts w:ascii="Verdana" w:hAnsi="Verdana"/>
          <w:bCs/>
          <w:color w:val="000000" w:themeColor="text1"/>
          <w:sz w:val="20"/>
          <w:szCs w:val="20"/>
        </w:rPr>
        <w:t xml:space="preserve">a domanda </w:t>
      </w:r>
      <w:r w:rsidR="00482C6F" w:rsidRPr="00A45056">
        <w:rPr>
          <w:rFonts w:ascii="Verdana" w:hAnsi="Verdana"/>
          <w:bCs/>
          <w:color w:val="000000" w:themeColor="text1"/>
          <w:sz w:val="20"/>
          <w:szCs w:val="20"/>
        </w:rPr>
        <w:t>nel contenzioso di cui al lodo arbitrale, non era riferita a tutte le sedi, ma solo al</w:t>
      </w:r>
      <w:r w:rsidR="001C2C4D" w:rsidRPr="00A45056">
        <w:rPr>
          <w:rFonts w:ascii="Verdana" w:hAnsi="Verdana"/>
          <w:bCs/>
          <w:color w:val="000000" w:themeColor="text1"/>
          <w:sz w:val="20"/>
          <w:szCs w:val="20"/>
        </w:rPr>
        <w:t xml:space="preserve"> Comune di Gricignano D’</w:t>
      </w:r>
      <w:r w:rsidR="0077450E" w:rsidRPr="00A45056">
        <w:rPr>
          <w:rFonts w:ascii="Verdana" w:hAnsi="Verdana"/>
          <w:bCs/>
          <w:color w:val="000000" w:themeColor="text1"/>
          <w:sz w:val="20"/>
          <w:szCs w:val="20"/>
        </w:rPr>
        <w:t>A</w:t>
      </w:r>
      <w:r w:rsidR="001C2C4D" w:rsidRPr="00A45056">
        <w:rPr>
          <w:rFonts w:ascii="Verdana" w:hAnsi="Verdana"/>
          <w:bCs/>
          <w:color w:val="000000" w:themeColor="text1"/>
          <w:sz w:val="20"/>
          <w:szCs w:val="20"/>
        </w:rPr>
        <w:t>versa «</w:t>
      </w:r>
      <w:r w:rsidR="007116ED" w:rsidRPr="00A45056">
        <w:rPr>
          <w:rFonts w:ascii="Verdana" w:hAnsi="Verdana"/>
          <w:bCs/>
          <w:i/>
          <w:color w:val="000000" w:themeColor="text1"/>
          <w:sz w:val="20"/>
          <w:szCs w:val="20"/>
        </w:rPr>
        <w:t>comune confinante con Sant'Arpino ed operante in un ambito territoriale e demografico</w:t>
      </w:r>
      <w:r w:rsidR="009B775B" w:rsidRPr="00A45056">
        <w:rPr>
          <w:rFonts w:ascii="Verdana" w:hAnsi="Verdana"/>
          <w:bCs/>
          <w:i/>
          <w:color w:val="000000" w:themeColor="text1"/>
          <w:sz w:val="20"/>
          <w:szCs w:val="20"/>
        </w:rPr>
        <w:t xml:space="preserve"> </w:t>
      </w:r>
      <w:r w:rsidR="007116ED" w:rsidRPr="00A45056">
        <w:rPr>
          <w:rFonts w:ascii="Verdana" w:hAnsi="Verdana"/>
          <w:bCs/>
          <w:i/>
          <w:color w:val="000000" w:themeColor="text1"/>
          <w:sz w:val="20"/>
          <w:szCs w:val="20"/>
        </w:rPr>
        <w:t>assimilabile a quello in cui avrebbe operato la farmacia di Sant'Arpino</w:t>
      </w:r>
      <w:r w:rsidR="0077450E" w:rsidRPr="00A45056">
        <w:rPr>
          <w:rFonts w:ascii="Verdana" w:hAnsi="Verdana"/>
          <w:bCs/>
          <w:color w:val="000000" w:themeColor="text1"/>
          <w:sz w:val="20"/>
          <w:szCs w:val="20"/>
        </w:rPr>
        <w:t>» al centro della controversia.</w:t>
      </w:r>
    </w:p>
    <w:p w:rsidR="00BF66CA" w:rsidRPr="00A45056" w:rsidRDefault="00BF66CA" w:rsidP="00BF66CA">
      <w:pPr>
        <w:shd w:val="clear" w:color="auto" w:fill="FEFFFF"/>
        <w:spacing w:line="360" w:lineRule="auto"/>
        <w:ind w:firstLine="354"/>
        <w:jc w:val="both"/>
        <w:rPr>
          <w:rFonts w:ascii="Verdana" w:hAnsi="Verdana"/>
          <w:bCs/>
          <w:color w:val="000000" w:themeColor="text1"/>
          <w:sz w:val="20"/>
          <w:szCs w:val="20"/>
        </w:rPr>
      </w:pPr>
      <w:r w:rsidRPr="00A45056">
        <w:rPr>
          <w:rFonts w:ascii="Verdana" w:hAnsi="Verdana"/>
          <w:bCs/>
          <w:color w:val="000000" w:themeColor="text1"/>
          <w:sz w:val="20"/>
          <w:szCs w:val="20"/>
        </w:rPr>
        <w:t xml:space="preserve">Inoltre, </w:t>
      </w:r>
      <w:r w:rsidR="00860C03" w:rsidRPr="00A45056">
        <w:rPr>
          <w:rFonts w:ascii="Verdana" w:hAnsi="Verdana"/>
          <w:bCs/>
          <w:color w:val="000000" w:themeColor="text1"/>
          <w:sz w:val="20"/>
          <w:szCs w:val="20"/>
        </w:rPr>
        <w:t xml:space="preserve">alla richiesta </w:t>
      </w:r>
      <w:r w:rsidRPr="00A45056">
        <w:rPr>
          <w:rFonts w:ascii="Verdana" w:hAnsi="Verdana"/>
          <w:bCs/>
          <w:color w:val="000000" w:themeColor="text1"/>
          <w:sz w:val="20"/>
          <w:szCs w:val="20"/>
        </w:rPr>
        <w:t>di produrre u</w:t>
      </w:r>
      <w:r w:rsidRPr="00A45056">
        <w:rPr>
          <w:rFonts w:ascii="Verdana" w:hAnsi="Verdana"/>
          <w:bCs/>
          <w:i/>
          <w:color w:val="000000" w:themeColor="text1"/>
          <w:sz w:val="20"/>
          <w:szCs w:val="20"/>
        </w:rPr>
        <w:t xml:space="preserve">n benchmark </w:t>
      </w:r>
      <w:r w:rsidRPr="00A45056">
        <w:rPr>
          <w:rFonts w:ascii="Verdana" w:hAnsi="Verdana"/>
          <w:bCs/>
          <w:color w:val="000000" w:themeColor="text1"/>
          <w:sz w:val="20"/>
          <w:szCs w:val="20"/>
        </w:rPr>
        <w:t xml:space="preserve">per classe demografica e territoriale di soggetti terzi, i Comuni, a mezzo del CISS, hanno riportato i dati di 2 consorzi farmaceutici </w:t>
      </w:r>
      <w:proofErr w:type="spellStart"/>
      <w:r w:rsidRPr="00A45056">
        <w:rPr>
          <w:rFonts w:ascii="Verdana" w:hAnsi="Verdana"/>
          <w:bCs/>
          <w:color w:val="000000" w:themeColor="text1"/>
          <w:sz w:val="20"/>
          <w:szCs w:val="20"/>
        </w:rPr>
        <w:t>pluri</w:t>
      </w:r>
      <w:proofErr w:type="spellEnd"/>
      <w:r w:rsidR="00C21CE1" w:rsidRPr="00A45056">
        <w:rPr>
          <w:rFonts w:ascii="Verdana" w:hAnsi="Verdana"/>
          <w:bCs/>
          <w:color w:val="000000" w:themeColor="text1"/>
          <w:sz w:val="20"/>
          <w:szCs w:val="20"/>
        </w:rPr>
        <w:t>-</w:t>
      </w:r>
      <w:r w:rsidRPr="00A45056">
        <w:rPr>
          <w:rFonts w:ascii="Verdana" w:hAnsi="Verdana"/>
          <w:bCs/>
          <w:color w:val="000000" w:themeColor="text1"/>
          <w:sz w:val="20"/>
          <w:szCs w:val="20"/>
        </w:rPr>
        <w:t xml:space="preserve">sede del territorio campano (fonte </w:t>
      </w:r>
      <w:proofErr w:type="spellStart"/>
      <w:r w:rsidRPr="00A45056">
        <w:rPr>
          <w:rFonts w:ascii="Verdana" w:hAnsi="Verdana"/>
          <w:bCs/>
          <w:color w:val="000000" w:themeColor="text1"/>
          <w:sz w:val="20"/>
          <w:szCs w:val="20"/>
        </w:rPr>
        <w:t>AssoFarm</w:t>
      </w:r>
      <w:proofErr w:type="spellEnd"/>
      <w:r w:rsidRPr="00A45056">
        <w:rPr>
          <w:rFonts w:ascii="Verdana" w:hAnsi="Verdana"/>
          <w:bCs/>
          <w:color w:val="000000" w:themeColor="text1"/>
          <w:sz w:val="20"/>
          <w:szCs w:val="20"/>
        </w:rPr>
        <w:t xml:space="preserve">) che presentano una redditività minore. Si ritiene il raffronto, </w:t>
      </w:r>
      <w:r w:rsidR="00417A2F" w:rsidRPr="00A45056">
        <w:rPr>
          <w:rFonts w:ascii="Verdana" w:hAnsi="Verdana"/>
          <w:bCs/>
          <w:color w:val="000000" w:themeColor="text1"/>
          <w:sz w:val="20"/>
          <w:szCs w:val="20"/>
        </w:rPr>
        <w:t>nondimeno</w:t>
      </w:r>
      <w:r w:rsidRPr="00A45056">
        <w:rPr>
          <w:rFonts w:ascii="Verdana" w:hAnsi="Verdana"/>
          <w:bCs/>
          <w:color w:val="000000" w:themeColor="text1"/>
          <w:sz w:val="20"/>
          <w:szCs w:val="20"/>
        </w:rPr>
        <w:t>, non significativo e non rispondente alla richiesta in quanto, sulla base dello stesso ragionamento induttivo sopra effettuato, la richiesta avrebbe dovuto opportunamente fornire il dato con riguardo a singole sedi farmaceutiche</w:t>
      </w:r>
      <w:r w:rsidR="00860C03" w:rsidRPr="00A45056">
        <w:rPr>
          <w:rFonts w:ascii="Verdana" w:hAnsi="Verdana"/>
          <w:bCs/>
          <w:color w:val="000000" w:themeColor="text1"/>
          <w:sz w:val="20"/>
          <w:szCs w:val="20"/>
        </w:rPr>
        <w:t xml:space="preserve"> private operanti nella medesima area territoriale in cui opera </w:t>
      </w:r>
      <w:r w:rsidR="003B4079">
        <w:rPr>
          <w:rFonts w:ascii="Verdana" w:hAnsi="Verdana"/>
          <w:bCs/>
          <w:color w:val="000000" w:themeColor="text1"/>
          <w:sz w:val="20"/>
          <w:szCs w:val="20"/>
        </w:rPr>
        <w:t>INCOFARMA</w:t>
      </w:r>
      <w:r w:rsidRPr="00A45056">
        <w:rPr>
          <w:rFonts w:ascii="Verdana" w:hAnsi="Verdana"/>
          <w:bCs/>
          <w:color w:val="000000" w:themeColor="text1"/>
          <w:sz w:val="20"/>
          <w:szCs w:val="20"/>
        </w:rPr>
        <w:t xml:space="preserve">. </w:t>
      </w:r>
    </w:p>
    <w:p w:rsidR="00B05890" w:rsidRPr="00A45056" w:rsidRDefault="00504274" w:rsidP="000E3546">
      <w:pPr>
        <w:shd w:val="clear" w:color="auto" w:fill="FEFFFF"/>
        <w:spacing w:line="360" w:lineRule="auto"/>
        <w:ind w:firstLine="354"/>
        <w:jc w:val="both"/>
        <w:rPr>
          <w:rFonts w:ascii="Verdana" w:hAnsi="Verdana"/>
          <w:bCs/>
          <w:color w:val="000000" w:themeColor="text1"/>
          <w:sz w:val="20"/>
          <w:szCs w:val="20"/>
        </w:rPr>
      </w:pPr>
      <w:r w:rsidRPr="00A45056">
        <w:rPr>
          <w:rFonts w:ascii="Verdana" w:hAnsi="Verdana"/>
          <w:bCs/>
          <w:color w:val="000000" w:themeColor="text1"/>
          <w:sz w:val="20"/>
          <w:szCs w:val="20"/>
        </w:rPr>
        <w:t xml:space="preserve">In adunanza pubblica, l’Amministratore delegato di </w:t>
      </w:r>
      <w:r w:rsidR="003B4079">
        <w:rPr>
          <w:rFonts w:ascii="Verdana" w:hAnsi="Verdana"/>
          <w:bCs/>
          <w:color w:val="000000" w:themeColor="text1"/>
          <w:sz w:val="20"/>
          <w:szCs w:val="20"/>
        </w:rPr>
        <w:t>INCOFARMA</w:t>
      </w:r>
      <w:r w:rsidRPr="00A45056">
        <w:rPr>
          <w:rFonts w:ascii="Verdana" w:hAnsi="Verdana"/>
          <w:bCs/>
          <w:color w:val="000000" w:themeColor="text1"/>
          <w:sz w:val="20"/>
          <w:szCs w:val="20"/>
        </w:rPr>
        <w:t xml:space="preserve"> ha riferito che non è stato possibile rintracciare un </w:t>
      </w:r>
      <w:r w:rsidRPr="00A45056">
        <w:rPr>
          <w:rFonts w:ascii="Verdana" w:hAnsi="Verdana"/>
          <w:bCs/>
          <w:i/>
          <w:color w:val="000000" w:themeColor="text1"/>
          <w:sz w:val="20"/>
          <w:szCs w:val="20"/>
        </w:rPr>
        <w:t>benchmark</w:t>
      </w:r>
      <w:r w:rsidRPr="00A45056">
        <w:rPr>
          <w:rFonts w:ascii="Verdana" w:hAnsi="Verdana"/>
          <w:bCs/>
          <w:color w:val="000000" w:themeColor="text1"/>
          <w:sz w:val="20"/>
          <w:szCs w:val="20"/>
        </w:rPr>
        <w:t xml:space="preserve"> che rispondesse alle richieste della Corte. Infatti, per avere un dato raffrontabile, in termini di b</w:t>
      </w:r>
      <w:r w:rsidRPr="00A45056">
        <w:rPr>
          <w:rFonts w:ascii="Verdana" w:hAnsi="Verdana"/>
          <w:bCs/>
          <w:i/>
          <w:color w:val="000000" w:themeColor="text1"/>
          <w:sz w:val="20"/>
          <w:szCs w:val="20"/>
        </w:rPr>
        <w:t>enchmark</w:t>
      </w:r>
      <w:r w:rsidRPr="00A45056">
        <w:rPr>
          <w:rFonts w:ascii="Verdana" w:hAnsi="Verdana"/>
          <w:bCs/>
          <w:color w:val="000000" w:themeColor="text1"/>
          <w:sz w:val="20"/>
          <w:szCs w:val="20"/>
        </w:rPr>
        <w:t>, per classe dimensionale e demografica, della redditività delle farmacie gestite, sarebbe necessario disporre di uno studio che prendesse in considerazione esclusivamente le farmacie comunali</w:t>
      </w:r>
      <w:r w:rsidR="000E3546">
        <w:rPr>
          <w:rFonts w:ascii="Verdana" w:hAnsi="Verdana"/>
          <w:bCs/>
          <w:color w:val="000000" w:themeColor="text1"/>
          <w:sz w:val="20"/>
          <w:szCs w:val="20"/>
        </w:rPr>
        <w:t xml:space="preserve">. </w:t>
      </w:r>
      <w:r w:rsidR="000E3546" w:rsidRPr="00A45056">
        <w:rPr>
          <w:rFonts w:ascii="Verdana" w:hAnsi="Verdana"/>
          <w:bCs/>
          <w:color w:val="000000" w:themeColor="text1"/>
          <w:sz w:val="20"/>
          <w:szCs w:val="20"/>
        </w:rPr>
        <w:t xml:space="preserve">In proposito, si è osservato che </w:t>
      </w:r>
      <w:r w:rsidR="000E3546">
        <w:rPr>
          <w:rFonts w:ascii="Verdana" w:hAnsi="Verdana"/>
          <w:bCs/>
          <w:color w:val="000000" w:themeColor="text1"/>
          <w:sz w:val="20"/>
          <w:szCs w:val="20"/>
        </w:rPr>
        <w:t>il raffronto</w:t>
      </w:r>
      <w:r w:rsidRPr="00A45056">
        <w:rPr>
          <w:rFonts w:ascii="Verdana" w:hAnsi="Verdana"/>
          <w:bCs/>
          <w:color w:val="000000" w:themeColor="text1"/>
          <w:sz w:val="20"/>
          <w:szCs w:val="20"/>
        </w:rPr>
        <w:t xml:space="preserve"> </w:t>
      </w:r>
      <w:r w:rsidR="000E3546">
        <w:rPr>
          <w:rFonts w:ascii="Verdana" w:hAnsi="Verdana"/>
          <w:bCs/>
          <w:color w:val="000000" w:themeColor="text1"/>
          <w:sz w:val="20"/>
          <w:szCs w:val="20"/>
        </w:rPr>
        <w:t xml:space="preserve">con le farmacie private sarebbe improprio, in quanto le </w:t>
      </w:r>
      <w:r w:rsidRPr="00A45056">
        <w:rPr>
          <w:rFonts w:ascii="Verdana" w:hAnsi="Verdana"/>
          <w:bCs/>
          <w:color w:val="000000" w:themeColor="text1"/>
          <w:sz w:val="20"/>
          <w:szCs w:val="20"/>
        </w:rPr>
        <w:t xml:space="preserve">farmacie </w:t>
      </w:r>
      <w:r w:rsidR="000E3546">
        <w:rPr>
          <w:rFonts w:ascii="Verdana" w:hAnsi="Verdana"/>
          <w:bCs/>
          <w:color w:val="000000" w:themeColor="text1"/>
          <w:sz w:val="20"/>
          <w:szCs w:val="20"/>
        </w:rPr>
        <w:t xml:space="preserve">comunali </w:t>
      </w:r>
      <w:r w:rsidRPr="00A45056">
        <w:rPr>
          <w:rFonts w:ascii="Verdana" w:hAnsi="Verdana"/>
          <w:bCs/>
          <w:color w:val="000000" w:themeColor="text1"/>
          <w:sz w:val="20"/>
          <w:szCs w:val="20"/>
        </w:rPr>
        <w:t xml:space="preserve">affrontano maggiori costi per il personale e si accollano servizi gratuiti che abbattano i ricavi in modo sensibile. </w:t>
      </w:r>
      <w:r w:rsidR="00B05890" w:rsidRPr="00A45056">
        <w:rPr>
          <w:rFonts w:ascii="Verdana" w:hAnsi="Verdana"/>
          <w:bCs/>
          <w:color w:val="000000" w:themeColor="text1"/>
          <w:sz w:val="20"/>
          <w:szCs w:val="20"/>
        </w:rPr>
        <w:t>In secondo luogo</w:t>
      </w:r>
      <w:r w:rsidR="000E3546">
        <w:rPr>
          <w:rFonts w:ascii="Verdana" w:hAnsi="Verdana"/>
          <w:bCs/>
          <w:color w:val="000000" w:themeColor="text1"/>
          <w:sz w:val="20"/>
          <w:szCs w:val="20"/>
        </w:rPr>
        <w:t xml:space="preserve">, l’Amministratore delegato di </w:t>
      </w:r>
      <w:r w:rsidR="003B4079">
        <w:rPr>
          <w:rFonts w:ascii="Verdana" w:hAnsi="Verdana"/>
          <w:bCs/>
          <w:color w:val="000000" w:themeColor="text1"/>
          <w:sz w:val="20"/>
          <w:szCs w:val="20"/>
        </w:rPr>
        <w:t>INCOFARMA</w:t>
      </w:r>
      <w:r w:rsidR="00B05890" w:rsidRPr="00A45056">
        <w:rPr>
          <w:rFonts w:ascii="Verdana" w:hAnsi="Verdana"/>
          <w:bCs/>
          <w:color w:val="000000" w:themeColor="text1"/>
          <w:sz w:val="20"/>
          <w:szCs w:val="20"/>
        </w:rPr>
        <w:t xml:space="preserve"> ha posto in evidenza che sull’utile annuale pesa la cir</w:t>
      </w:r>
      <w:r w:rsidR="00E21449" w:rsidRPr="00A45056">
        <w:rPr>
          <w:rFonts w:ascii="Verdana" w:hAnsi="Verdana"/>
          <w:bCs/>
          <w:color w:val="000000" w:themeColor="text1"/>
          <w:sz w:val="20"/>
          <w:szCs w:val="20"/>
        </w:rPr>
        <w:t xml:space="preserve">costanza che </w:t>
      </w:r>
      <w:r w:rsidR="003604AC">
        <w:rPr>
          <w:rFonts w:ascii="Verdana" w:hAnsi="Verdana"/>
          <w:bCs/>
          <w:color w:val="000000" w:themeColor="text1"/>
          <w:sz w:val="20"/>
          <w:szCs w:val="20"/>
        </w:rPr>
        <w:t>sussi</w:t>
      </w:r>
      <w:r w:rsidR="00545D82">
        <w:rPr>
          <w:rFonts w:ascii="Verdana" w:hAnsi="Verdana"/>
          <w:bCs/>
          <w:color w:val="000000" w:themeColor="text1"/>
          <w:sz w:val="20"/>
          <w:szCs w:val="20"/>
        </w:rPr>
        <w:t>s</w:t>
      </w:r>
      <w:r w:rsidR="003604AC">
        <w:rPr>
          <w:rFonts w:ascii="Verdana" w:hAnsi="Verdana"/>
          <w:bCs/>
          <w:color w:val="000000" w:themeColor="text1"/>
          <w:sz w:val="20"/>
          <w:szCs w:val="20"/>
        </w:rPr>
        <w:t>te</w:t>
      </w:r>
      <w:r w:rsidR="00E21449" w:rsidRPr="00A45056">
        <w:rPr>
          <w:rFonts w:ascii="Verdana" w:hAnsi="Verdana"/>
          <w:bCs/>
          <w:color w:val="000000" w:themeColor="text1"/>
          <w:sz w:val="20"/>
          <w:szCs w:val="20"/>
        </w:rPr>
        <w:t xml:space="preserve"> una sorta di fase </w:t>
      </w:r>
      <w:r w:rsidR="000E3546">
        <w:rPr>
          <w:rFonts w:ascii="Verdana" w:hAnsi="Verdana"/>
          <w:bCs/>
          <w:color w:val="000000" w:themeColor="text1"/>
          <w:sz w:val="20"/>
          <w:szCs w:val="20"/>
        </w:rPr>
        <w:t>d</w:t>
      </w:r>
      <w:r w:rsidR="000E3546" w:rsidRPr="00A45056">
        <w:rPr>
          <w:rFonts w:ascii="Verdana" w:hAnsi="Verdana"/>
          <w:bCs/>
          <w:color w:val="000000" w:themeColor="text1"/>
          <w:sz w:val="20"/>
          <w:szCs w:val="20"/>
        </w:rPr>
        <w:t xml:space="preserve">i </w:t>
      </w:r>
      <w:r w:rsidR="00E21449" w:rsidRPr="004753CD">
        <w:rPr>
          <w:rFonts w:ascii="Verdana" w:hAnsi="Verdana"/>
          <w:bCs/>
          <w:i/>
          <w:color w:val="000000" w:themeColor="text1"/>
          <w:sz w:val="20"/>
          <w:szCs w:val="20"/>
        </w:rPr>
        <w:t xml:space="preserve">start-up </w:t>
      </w:r>
      <w:r w:rsidR="00E21449" w:rsidRPr="00A45056">
        <w:rPr>
          <w:rFonts w:ascii="Verdana" w:hAnsi="Verdana"/>
          <w:bCs/>
          <w:color w:val="000000" w:themeColor="text1"/>
          <w:sz w:val="20"/>
          <w:szCs w:val="20"/>
        </w:rPr>
        <w:t>prolungata, dov</w:t>
      </w:r>
      <w:r w:rsidR="00B05890" w:rsidRPr="00A45056">
        <w:rPr>
          <w:rFonts w:ascii="Verdana" w:hAnsi="Verdana"/>
          <w:bCs/>
          <w:color w:val="000000" w:themeColor="text1"/>
          <w:sz w:val="20"/>
          <w:szCs w:val="20"/>
        </w:rPr>
        <w:t xml:space="preserve">uta al fatto che l’apertura di farmacie per sopraggiunte </w:t>
      </w:r>
      <w:r w:rsidR="000E3546" w:rsidRPr="00A45056">
        <w:rPr>
          <w:rFonts w:ascii="Verdana" w:hAnsi="Verdana"/>
          <w:bCs/>
          <w:color w:val="000000" w:themeColor="text1"/>
          <w:sz w:val="20"/>
          <w:szCs w:val="20"/>
        </w:rPr>
        <w:t>adesion</w:t>
      </w:r>
      <w:r w:rsidR="000E3546">
        <w:rPr>
          <w:rFonts w:ascii="Verdana" w:hAnsi="Verdana"/>
          <w:bCs/>
          <w:color w:val="000000" w:themeColor="text1"/>
          <w:sz w:val="20"/>
          <w:szCs w:val="20"/>
        </w:rPr>
        <w:t>i</w:t>
      </w:r>
      <w:r w:rsidR="000E3546" w:rsidRPr="00A45056">
        <w:rPr>
          <w:rFonts w:ascii="Verdana" w:hAnsi="Verdana"/>
          <w:bCs/>
          <w:color w:val="000000" w:themeColor="text1"/>
          <w:sz w:val="20"/>
          <w:szCs w:val="20"/>
        </w:rPr>
        <w:t xml:space="preserve"> </w:t>
      </w:r>
      <w:r w:rsidR="00B05890" w:rsidRPr="00A45056">
        <w:rPr>
          <w:rFonts w:ascii="Verdana" w:hAnsi="Verdana"/>
          <w:bCs/>
          <w:color w:val="000000" w:themeColor="text1"/>
          <w:sz w:val="20"/>
          <w:szCs w:val="20"/>
        </w:rPr>
        <w:t>al</w:t>
      </w:r>
      <w:r w:rsidR="004F5E49">
        <w:rPr>
          <w:rFonts w:ascii="Verdana" w:hAnsi="Verdana"/>
          <w:bCs/>
          <w:color w:val="000000" w:themeColor="text1"/>
          <w:sz w:val="20"/>
          <w:szCs w:val="20"/>
        </w:rPr>
        <w:t xml:space="preserve"> CISS </w:t>
      </w:r>
      <w:r w:rsidR="008C3229">
        <w:rPr>
          <w:rFonts w:ascii="Verdana" w:hAnsi="Verdana"/>
          <w:bCs/>
          <w:color w:val="000000" w:themeColor="text1"/>
          <w:sz w:val="20"/>
          <w:szCs w:val="20"/>
        </w:rPr>
        <w:t>(</w:t>
      </w:r>
      <w:r w:rsidR="004F5E49">
        <w:rPr>
          <w:rFonts w:ascii="Verdana" w:hAnsi="Verdana"/>
          <w:bCs/>
          <w:color w:val="000000" w:themeColor="text1"/>
          <w:sz w:val="20"/>
          <w:szCs w:val="20"/>
        </w:rPr>
        <w:t xml:space="preserve">o </w:t>
      </w:r>
      <w:r w:rsidR="008C3229">
        <w:rPr>
          <w:rFonts w:ascii="Verdana" w:hAnsi="Verdana"/>
          <w:bCs/>
          <w:color w:val="000000" w:themeColor="text1"/>
          <w:sz w:val="20"/>
          <w:szCs w:val="20"/>
        </w:rPr>
        <w:t xml:space="preserve">per </w:t>
      </w:r>
      <w:r w:rsidR="004F5E49">
        <w:rPr>
          <w:rFonts w:ascii="Verdana" w:hAnsi="Verdana"/>
          <w:bCs/>
          <w:color w:val="000000" w:themeColor="text1"/>
          <w:sz w:val="20"/>
          <w:szCs w:val="20"/>
        </w:rPr>
        <w:t>prelazioni ulteriori</w:t>
      </w:r>
      <w:r w:rsidR="00B05890" w:rsidRPr="00A45056">
        <w:rPr>
          <w:rFonts w:ascii="Verdana" w:hAnsi="Verdana"/>
          <w:bCs/>
          <w:color w:val="000000" w:themeColor="text1"/>
          <w:sz w:val="20"/>
          <w:szCs w:val="20"/>
        </w:rPr>
        <w:t xml:space="preserve"> </w:t>
      </w:r>
      <w:r w:rsidR="008C3229">
        <w:rPr>
          <w:rFonts w:ascii="Verdana" w:hAnsi="Verdana"/>
          <w:bCs/>
          <w:color w:val="000000" w:themeColor="text1"/>
          <w:sz w:val="20"/>
          <w:szCs w:val="20"/>
        </w:rPr>
        <w:t xml:space="preserve">degli aderenti) </w:t>
      </w:r>
      <w:r w:rsidR="00B05890" w:rsidRPr="00A45056">
        <w:rPr>
          <w:rFonts w:ascii="Verdana" w:hAnsi="Verdana"/>
          <w:bCs/>
          <w:color w:val="000000" w:themeColor="text1"/>
          <w:sz w:val="20"/>
          <w:szCs w:val="20"/>
        </w:rPr>
        <w:t>onera la società di costi di avviamento considerevoli</w:t>
      </w:r>
      <w:r w:rsidR="00E21449" w:rsidRPr="00A45056">
        <w:rPr>
          <w:rFonts w:ascii="Verdana" w:hAnsi="Verdana"/>
          <w:bCs/>
          <w:color w:val="000000" w:themeColor="text1"/>
          <w:sz w:val="20"/>
          <w:szCs w:val="20"/>
        </w:rPr>
        <w:t>.</w:t>
      </w:r>
    </w:p>
    <w:p w:rsidR="00E21449" w:rsidRPr="00A45056" w:rsidRDefault="00E21449" w:rsidP="00BF66CA">
      <w:pPr>
        <w:shd w:val="clear" w:color="auto" w:fill="FEFFFF"/>
        <w:spacing w:line="360" w:lineRule="auto"/>
        <w:ind w:firstLine="354"/>
        <w:jc w:val="both"/>
        <w:rPr>
          <w:rFonts w:ascii="Verdana" w:hAnsi="Verdana"/>
          <w:bCs/>
          <w:color w:val="000000" w:themeColor="text1"/>
          <w:sz w:val="20"/>
          <w:szCs w:val="20"/>
        </w:rPr>
      </w:pPr>
      <w:r w:rsidRPr="00A45056">
        <w:rPr>
          <w:rFonts w:ascii="Verdana" w:hAnsi="Verdana"/>
          <w:bCs/>
          <w:color w:val="000000" w:themeColor="text1"/>
          <w:sz w:val="20"/>
          <w:szCs w:val="20"/>
        </w:rPr>
        <w:t>La Sezione ha preso atto e invita i comuni a verificare e utilizzare gli elementi di fatto emersi nell’indagine come elementi di valutazione nell’esercizio della futura vigilanza</w:t>
      </w:r>
      <w:r w:rsidR="00F03525">
        <w:rPr>
          <w:rFonts w:ascii="Verdana" w:hAnsi="Verdana"/>
          <w:bCs/>
          <w:color w:val="000000" w:themeColor="text1"/>
          <w:sz w:val="20"/>
          <w:szCs w:val="20"/>
        </w:rPr>
        <w:t xml:space="preserve">, in particolare provvedendo, attraverso </w:t>
      </w:r>
      <w:r w:rsidR="00B459EA">
        <w:rPr>
          <w:rFonts w:ascii="Verdana" w:hAnsi="Verdana"/>
          <w:bCs/>
          <w:color w:val="000000" w:themeColor="text1"/>
          <w:sz w:val="20"/>
          <w:szCs w:val="20"/>
        </w:rPr>
        <w:t>il sistema dei</w:t>
      </w:r>
      <w:r w:rsidR="00F03525">
        <w:rPr>
          <w:rFonts w:ascii="Verdana" w:hAnsi="Verdana"/>
          <w:bCs/>
          <w:color w:val="000000" w:themeColor="text1"/>
          <w:sz w:val="20"/>
          <w:szCs w:val="20"/>
        </w:rPr>
        <w:t xml:space="preserve"> controlli interni, a verificare</w:t>
      </w:r>
      <w:r w:rsidR="00F13629">
        <w:rPr>
          <w:rFonts w:ascii="Verdana" w:hAnsi="Verdana"/>
          <w:bCs/>
          <w:color w:val="000000" w:themeColor="text1"/>
          <w:sz w:val="20"/>
          <w:szCs w:val="20"/>
        </w:rPr>
        <w:t xml:space="preserve"> costantemente</w:t>
      </w:r>
      <w:r w:rsidR="00F03525">
        <w:rPr>
          <w:rFonts w:ascii="Verdana" w:hAnsi="Verdana"/>
          <w:bCs/>
          <w:color w:val="000000" w:themeColor="text1"/>
          <w:sz w:val="20"/>
          <w:szCs w:val="20"/>
        </w:rPr>
        <w:t xml:space="preserve"> la re</w:t>
      </w:r>
      <w:r w:rsidR="00B459EA">
        <w:rPr>
          <w:rFonts w:ascii="Verdana" w:hAnsi="Verdana"/>
          <w:bCs/>
          <w:color w:val="000000" w:themeColor="text1"/>
          <w:sz w:val="20"/>
          <w:szCs w:val="20"/>
        </w:rPr>
        <w:t xml:space="preserve">dditività </w:t>
      </w:r>
      <w:r w:rsidR="00E663A7">
        <w:rPr>
          <w:rFonts w:ascii="Verdana" w:hAnsi="Verdana"/>
          <w:bCs/>
          <w:color w:val="000000" w:themeColor="text1"/>
          <w:sz w:val="20"/>
          <w:szCs w:val="20"/>
        </w:rPr>
        <w:t xml:space="preserve">della società partecipata, a tutela del valore della propria partecipazione e </w:t>
      </w:r>
      <w:r w:rsidR="007D4BAA">
        <w:rPr>
          <w:rFonts w:ascii="Verdana" w:hAnsi="Verdana"/>
          <w:bCs/>
          <w:color w:val="000000" w:themeColor="text1"/>
          <w:sz w:val="20"/>
          <w:szCs w:val="20"/>
        </w:rPr>
        <w:t>dei flussi finanziari.</w:t>
      </w:r>
      <w:r w:rsidR="009B7CBC">
        <w:rPr>
          <w:rFonts w:ascii="Verdana" w:hAnsi="Verdana"/>
          <w:bCs/>
          <w:color w:val="000000" w:themeColor="text1"/>
          <w:sz w:val="20"/>
          <w:szCs w:val="20"/>
        </w:rPr>
        <w:t xml:space="preserve"> </w:t>
      </w:r>
      <w:r w:rsidR="007D4BAA">
        <w:rPr>
          <w:rFonts w:ascii="Verdana" w:hAnsi="Verdana"/>
          <w:bCs/>
          <w:color w:val="000000" w:themeColor="text1"/>
          <w:sz w:val="20"/>
          <w:szCs w:val="20"/>
        </w:rPr>
        <w:t>A tal fine</w:t>
      </w:r>
      <w:r w:rsidR="003442FC">
        <w:rPr>
          <w:rFonts w:ascii="Verdana" w:hAnsi="Verdana"/>
          <w:bCs/>
          <w:color w:val="000000" w:themeColor="text1"/>
          <w:sz w:val="20"/>
          <w:szCs w:val="20"/>
        </w:rPr>
        <w:t>,</w:t>
      </w:r>
      <w:r w:rsidR="007D4BAA">
        <w:rPr>
          <w:rFonts w:ascii="Verdana" w:hAnsi="Verdana"/>
          <w:bCs/>
          <w:color w:val="000000" w:themeColor="text1"/>
          <w:sz w:val="20"/>
          <w:szCs w:val="20"/>
        </w:rPr>
        <w:t xml:space="preserve"> occorre reperire</w:t>
      </w:r>
      <w:r w:rsidR="00B459EA">
        <w:rPr>
          <w:rFonts w:ascii="Verdana" w:hAnsi="Verdana"/>
          <w:bCs/>
          <w:color w:val="000000" w:themeColor="text1"/>
          <w:sz w:val="20"/>
          <w:szCs w:val="20"/>
        </w:rPr>
        <w:t xml:space="preserve"> un </w:t>
      </w:r>
      <w:r w:rsidR="00B459EA" w:rsidRPr="00E2584A">
        <w:rPr>
          <w:rFonts w:ascii="Verdana" w:hAnsi="Verdana"/>
          <w:bCs/>
          <w:i/>
          <w:color w:val="000000" w:themeColor="text1"/>
          <w:sz w:val="20"/>
          <w:szCs w:val="20"/>
        </w:rPr>
        <w:t xml:space="preserve">benchmark </w:t>
      </w:r>
      <w:r w:rsidR="00B459EA">
        <w:rPr>
          <w:rFonts w:ascii="Verdana" w:hAnsi="Verdana"/>
          <w:bCs/>
          <w:color w:val="000000" w:themeColor="text1"/>
          <w:sz w:val="20"/>
          <w:szCs w:val="20"/>
        </w:rPr>
        <w:t>adeguato, allo stato non disponibile</w:t>
      </w:r>
      <w:r w:rsidR="00F13629">
        <w:rPr>
          <w:rFonts w:ascii="Verdana" w:hAnsi="Verdana"/>
          <w:bCs/>
          <w:color w:val="000000" w:themeColor="text1"/>
          <w:sz w:val="20"/>
          <w:szCs w:val="20"/>
        </w:rPr>
        <w:t>, nell’ottica</w:t>
      </w:r>
      <w:r w:rsidR="007D4BAA">
        <w:rPr>
          <w:rFonts w:ascii="Verdana" w:hAnsi="Verdana"/>
          <w:bCs/>
          <w:color w:val="000000" w:themeColor="text1"/>
          <w:sz w:val="20"/>
          <w:szCs w:val="20"/>
        </w:rPr>
        <w:t xml:space="preserve"> </w:t>
      </w:r>
      <w:proofErr w:type="gramStart"/>
      <w:r w:rsidR="000272B8">
        <w:rPr>
          <w:rFonts w:ascii="Verdana" w:hAnsi="Verdana"/>
          <w:bCs/>
          <w:color w:val="000000" w:themeColor="text1"/>
          <w:sz w:val="20"/>
          <w:szCs w:val="20"/>
        </w:rPr>
        <w:t>del</w:t>
      </w:r>
      <w:r w:rsidR="007D4BAA">
        <w:rPr>
          <w:rFonts w:ascii="Verdana" w:hAnsi="Verdana"/>
          <w:bCs/>
          <w:color w:val="000000" w:themeColor="text1"/>
          <w:sz w:val="20"/>
          <w:szCs w:val="20"/>
        </w:rPr>
        <w:t xml:space="preserve"> </w:t>
      </w:r>
      <w:r w:rsidR="00C33B88">
        <w:rPr>
          <w:rFonts w:ascii="Verdana" w:hAnsi="Verdana"/>
          <w:bCs/>
          <w:color w:val="000000" w:themeColor="text1"/>
          <w:sz w:val="20"/>
          <w:szCs w:val="20"/>
        </w:rPr>
        <w:t xml:space="preserve"> </w:t>
      </w:r>
      <w:r w:rsidR="00C33B88">
        <w:rPr>
          <w:rFonts w:ascii="Verdana" w:hAnsi="Verdana"/>
          <w:bCs/>
          <w:color w:val="000000" w:themeColor="text1"/>
          <w:sz w:val="20"/>
          <w:szCs w:val="20"/>
        </w:rPr>
        <w:lastRenderedPageBreak/>
        <w:t>consapevole</w:t>
      </w:r>
      <w:proofErr w:type="gramEnd"/>
      <w:r w:rsidR="00C33B88">
        <w:rPr>
          <w:rFonts w:ascii="Verdana" w:hAnsi="Verdana"/>
          <w:bCs/>
          <w:color w:val="000000" w:themeColor="text1"/>
          <w:sz w:val="20"/>
          <w:szCs w:val="20"/>
        </w:rPr>
        <w:t xml:space="preserve"> </w:t>
      </w:r>
      <w:r w:rsidR="00A3463D">
        <w:rPr>
          <w:rFonts w:ascii="Verdana" w:hAnsi="Verdana"/>
          <w:bCs/>
          <w:color w:val="000000" w:themeColor="text1"/>
          <w:sz w:val="20"/>
          <w:szCs w:val="20"/>
        </w:rPr>
        <w:t xml:space="preserve">esercizio dei diritti contrattuali (soprattutto in chiave di rinegoziazione dei contratti di servizio) </w:t>
      </w:r>
      <w:r w:rsidR="001A07C9">
        <w:rPr>
          <w:rFonts w:ascii="Verdana" w:hAnsi="Verdana"/>
          <w:bCs/>
          <w:color w:val="000000" w:themeColor="text1"/>
          <w:sz w:val="20"/>
          <w:szCs w:val="20"/>
        </w:rPr>
        <w:t xml:space="preserve">e di </w:t>
      </w:r>
      <w:r w:rsidR="007D4BAA">
        <w:rPr>
          <w:rFonts w:ascii="Verdana" w:hAnsi="Verdana"/>
          <w:bCs/>
          <w:color w:val="000000" w:themeColor="text1"/>
          <w:sz w:val="20"/>
          <w:szCs w:val="20"/>
        </w:rPr>
        <w:t>massimizzazione della convenienza della</w:t>
      </w:r>
      <w:r w:rsidR="00C33B88">
        <w:rPr>
          <w:rFonts w:ascii="Verdana" w:hAnsi="Verdana"/>
          <w:bCs/>
          <w:color w:val="000000" w:themeColor="text1"/>
          <w:sz w:val="20"/>
          <w:szCs w:val="20"/>
        </w:rPr>
        <w:t xml:space="preserve"> </w:t>
      </w:r>
      <w:r w:rsidR="007D4BAA">
        <w:rPr>
          <w:rFonts w:ascii="Verdana" w:hAnsi="Verdana"/>
          <w:bCs/>
          <w:color w:val="000000" w:themeColor="text1"/>
          <w:sz w:val="20"/>
          <w:szCs w:val="20"/>
        </w:rPr>
        <w:t>par</w:t>
      </w:r>
      <w:r w:rsidR="00C33B88">
        <w:rPr>
          <w:rFonts w:ascii="Verdana" w:hAnsi="Verdana"/>
          <w:bCs/>
          <w:color w:val="000000" w:themeColor="text1"/>
          <w:sz w:val="20"/>
          <w:szCs w:val="20"/>
        </w:rPr>
        <w:t xml:space="preserve">tecipazione, </w:t>
      </w:r>
      <w:r w:rsidR="001A07C9">
        <w:rPr>
          <w:rFonts w:ascii="Verdana" w:hAnsi="Verdana"/>
          <w:bCs/>
          <w:color w:val="000000" w:themeColor="text1"/>
          <w:sz w:val="20"/>
          <w:szCs w:val="20"/>
        </w:rPr>
        <w:t>onde evitare</w:t>
      </w:r>
      <w:r w:rsidR="008652DA">
        <w:rPr>
          <w:rFonts w:ascii="Verdana" w:hAnsi="Verdana"/>
          <w:bCs/>
          <w:color w:val="000000" w:themeColor="text1"/>
          <w:sz w:val="20"/>
          <w:szCs w:val="20"/>
        </w:rPr>
        <w:t xml:space="preserve"> l’eventualità</w:t>
      </w:r>
      <w:r w:rsidR="001A07C9">
        <w:rPr>
          <w:rFonts w:ascii="Verdana" w:hAnsi="Verdana"/>
          <w:bCs/>
          <w:color w:val="000000" w:themeColor="text1"/>
          <w:sz w:val="20"/>
          <w:szCs w:val="20"/>
        </w:rPr>
        <w:t xml:space="preserve">, se non </w:t>
      </w:r>
      <w:r w:rsidR="008652DA">
        <w:rPr>
          <w:rFonts w:ascii="Verdana" w:hAnsi="Verdana"/>
          <w:bCs/>
          <w:color w:val="000000" w:themeColor="text1"/>
          <w:sz w:val="20"/>
          <w:szCs w:val="20"/>
        </w:rPr>
        <w:t xml:space="preserve">di </w:t>
      </w:r>
      <w:r w:rsidR="001A07C9">
        <w:rPr>
          <w:rFonts w:ascii="Verdana" w:hAnsi="Verdana"/>
          <w:bCs/>
          <w:color w:val="000000" w:themeColor="text1"/>
          <w:sz w:val="20"/>
          <w:szCs w:val="20"/>
        </w:rPr>
        <w:t xml:space="preserve">danni, </w:t>
      </w:r>
      <w:r w:rsidR="008652DA">
        <w:rPr>
          <w:rFonts w:ascii="Verdana" w:hAnsi="Verdana"/>
          <w:bCs/>
          <w:color w:val="000000" w:themeColor="text1"/>
          <w:sz w:val="20"/>
          <w:szCs w:val="20"/>
        </w:rPr>
        <w:t xml:space="preserve">di </w:t>
      </w:r>
      <w:r w:rsidR="001A07C9">
        <w:rPr>
          <w:rFonts w:ascii="Verdana" w:hAnsi="Verdana"/>
          <w:bCs/>
          <w:color w:val="000000" w:themeColor="text1"/>
          <w:sz w:val="20"/>
          <w:szCs w:val="20"/>
        </w:rPr>
        <w:t xml:space="preserve">perdite di </w:t>
      </w:r>
      <w:r w:rsidR="001A07C9" w:rsidRPr="00E2584A">
        <w:rPr>
          <w:rFonts w:ascii="Verdana" w:hAnsi="Verdana"/>
          <w:bCs/>
          <w:i/>
          <w:color w:val="000000" w:themeColor="text1"/>
          <w:sz w:val="20"/>
          <w:szCs w:val="20"/>
        </w:rPr>
        <w:t>chance</w:t>
      </w:r>
      <w:r w:rsidR="001A07C9">
        <w:rPr>
          <w:rFonts w:ascii="Verdana" w:hAnsi="Verdana"/>
          <w:bCs/>
          <w:color w:val="000000" w:themeColor="text1"/>
          <w:sz w:val="20"/>
          <w:szCs w:val="20"/>
        </w:rPr>
        <w:t xml:space="preserve"> finanziarie.</w:t>
      </w:r>
    </w:p>
    <w:p w:rsidR="00CC7096" w:rsidRPr="00A45056" w:rsidRDefault="00CC7096" w:rsidP="00CC7096">
      <w:pPr>
        <w:shd w:val="clear" w:color="auto" w:fill="FEFFFF"/>
        <w:spacing w:line="360" w:lineRule="auto"/>
        <w:jc w:val="both"/>
        <w:rPr>
          <w:rFonts w:ascii="Verdana" w:hAnsi="Verdana"/>
          <w:b/>
          <w:bCs/>
          <w:color w:val="000000" w:themeColor="text1"/>
          <w:sz w:val="20"/>
          <w:szCs w:val="20"/>
        </w:rPr>
      </w:pPr>
    </w:p>
    <w:p w:rsidR="00494823" w:rsidRPr="00A45056" w:rsidRDefault="00494823" w:rsidP="003042BA">
      <w:pPr>
        <w:shd w:val="clear" w:color="auto" w:fill="FEFFFF"/>
        <w:spacing w:line="360" w:lineRule="auto"/>
        <w:ind w:firstLine="354"/>
        <w:jc w:val="center"/>
        <w:outlineLvl w:val="0"/>
        <w:rPr>
          <w:rFonts w:ascii="Verdana" w:eastAsia="Verdana" w:hAnsi="Verdana" w:cs="Verdana"/>
          <w:b/>
          <w:color w:val="000000" w:themeColor="text1"/>
          <w:sz w:val="20"/>
          <w:szCs w:val="20"/>
        </w:rPr>
      </w:pPr>
      <w:r w:rsidRPr="00A45056">
        <w:rPr>
          <w:rFonts w:ascii="Verdana" w:eastAsia="Verdana" w:hAnsi="Verdana" w:cs="Verdana"/>
          <w:b/>
          <w:color w:val="000000" w:themeColor="text1"/>
          <w:sz w:val="20"/>
          <w:szCs w:val="20"/>
        </w:rPr>
        <w:t xml:space="preserve">IN DIRITTO </w:t>
      </w:r>
    </w:p>
    <w:p w:rsidR="008954D3" w:rsidRPr="00A45056" w:rsidRDefault="00494823" w:rsidP="00B028EA">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b/>
          <w:bCs/>
          <w:color w:val="000000" w:themeColor="text1"/>
          <w:sz w:val="20"/>
          <w:szCs w:val="20"/>
        </w:rPr>
        <w:t>1.</w:t>
      </w:r>
      <w:r w:rsidRPr="00A45056">
        <w:rPr>
          <w:rFonts w:ascii="Verdana" w:hAnsi="Verdana"/>
          <w:color w:val="000000" w:themeColor="text1"/>
          <w:sz w:val="20"/>
          <w:szCs w:val="20"/>
        </w:rPr>
        <w:t xml:space="preserve"> Fermo restando quanto evidenziato in fatto per quel che concerne gli aspetti </w:t>
      </w:r>
      <w:r w:rsidR="00C11436" w:rsidRPr="00A45056">
        <w:rPr>
          <w:rFonts w:ascii="Verdana" w:hAnsi="Verdana"/>
          <w:color w:val="000000" w:themeColor="text1"/>
          <w:sz w:val="20"/>
          <w:szCs w:val="20"/>
        </w:rPr>
        <w:t>gestionali</w:t>
      </w:r>
      <w:r w:rsidRPr="00A45056">
        <w:rPr>
          <w:rFonts w:ascii="Verdana" w:hAnsi="Verdana"/>
          <w:color w:val="000000" w:themeColor="text1"/>
          <w:sz w:val="20"/>
          <w:szCs w:val="20"/>
        </w:rPr>
        <w:t xml:space="preserve">, </w:t>
      </w:r>
      <w:r w:rsidR="008954D3" w:rsidRPr="00A45056">
        <w:rPr>
          <w:rFonts w:ascii="Verdana" w:hAnsi="Verdana"/>
          <w:color w:val="000000" w:themeColor="text1"/>
          <w:sz w:val="20"/>
          <w:szCs w:val="20"/>
        </w:rPr>
        <w:t xml:space="preserve">si </w:t>
      </w:r>
      <w:r w:rsidR="00377220" w:rsidRPr="00A45056">
        <w:rPr>
          <w:rFonts w:ascii="Verdana" w:hAnsi="Verdana"/>
          <w:color w:val="000000" w:themeColor="text1"/>
          <w:sz w:val="20"/>
          <w:szCs w:val="20"/>
        </w:rPr>
        <w:t>accerta</w:t>
      </w:r>
      <w:r w:rsidR="00F92C61" w:rsidRPr="00A45056">
        <w:rPr>
          <w:rFonts w:ascii="Verdana" w:hAnsi="Verdana"/>
          <w:color w:val="000000" w:themeColor="text1"/>
          <w:sz w:val="20"/>
          <w:szCs w:val="20"/>
        </w:rPr>
        <w:t>, in punto di dirit</w:t>
      </w:r>
      <w:r w:rsidR="00FD70B0" w:rsidRPr="00A45056">
        <w:rPr>
          <w:rFonts w:ascii="Verdana" w:hAnsi="Verdana"/>
          <w:color w:val="000000" w:themeColor="text1"/>
          <w:sz w:val="20"/>
          <w:szCs w:val="20"/>
        </w:rPr>
        <w:t>t</w:t>
      </w:r>
      <w:r w:rsidR="00F92C61" w:rsidRPr="00A45056">
        <w:rPr>
          <w:rFonts w:ascii="Verdana" w:hAnsi="Verdana"/>
          <w:color w:val="000000" w:themeColor="text1"/>
          <w:sz w:val="20"/>
          <w:szCs w:val="20"/>
        </w:rPr>
        <w:t>o, quanto segue.</w:t>
      </w:r>
      <w:r w:rsidR="008954D3" w:rsidRPr="00A45056">
        <w:rPr>
          <w:rFonts w:ascii="Verdana" w:hAnsi="Verdana"/>
          <w:color w:val="000000" w:themeColor="text1"/>
          <w:sz w:val="20"/>
          <w:szCs w:val="20"/>
        </w:rPr>
        <w:t xml:space="preserve"> </w:t>
      </w:r>
    </w:p>
    <w:p w:rsidR="00977D9B" w:rsidRPr="00A45056" w:rsidRDefault="00C567D9" w:rsidP="00B028EA">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Il CISS e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come sottolineato in contraddittorio, </w:t>
      </w:r>
      <w:r w:rsidR="008907D0" w:rsidRPr="00A45056">
        <w:rPr>
          <w:rFonts w:ascii="Verdana" w:hAnsi="Verdana"/>
          <w:color w:val="000000" w:themeColor="text1"/>
          <w:sz w:val="20"/>
          <w:szCs w:val="20"/>
        </w:rPr>
        <w:t xml:space="preserve">hanno proceduto all’affidamento del servizio nel rispetto delle procedure </w:t>
      </w:r>
      <w:r w:rsidR="00093B93">
        <w:rPr>
          <w:rFonts w:ascii="Verdana" w:hAnsi="Verdana"/>
          <w:color w:val="000000" w:themeColor="text1"/>
          <w:sz w:val="20"/>
          <w:szCs w:val="20"/>
        </w:rPr>
        <w:t xml:space="preserve">di cui al </w:t>
      </w:r>
      <w:r w:rsidR="00FA690F" w:rsidRPr="00A45056">
        <w:rPr>
          <w:rFonts w:ascii="Verdana" w:hAnsi="Verdana"/>
          <w:color w:val="000000" w:themeColor="text1"/>
          <w:sz w:val="20"/>
          <w:szCs w:val="20"/>
        </w:rPr>
        <w:t>D.lgs. n. 157/1</w:t>
      </w:r>
      <w:r w:rsidR="00093B93">
        <w:rPr>
          <w:rFonts w:ascii="Verdana" w:hAnsi="Verdana"/>
          <w:color w:val="000000" w:themeColor="text1"/>
          <w:sz w:val="20"/>
          <w:szCs w:val="20"/>
        </w:rPr>
        <w:t>9</w:t>
      </w:r>
      <w:r w:rsidR="00FA690F" w:rsidRPr="00A45056">
        <w:rPr>
          <w:rFonts w:ascii="Verdana" w:hAnsi="Verdana"/>
          <w:color w:val="000000" w:themeColor="text1"/>
          <w:sz w:val="20"/>
          <w:szCs w:val="20"/>
        </w:rPr>
        <w:t xml:space="preserve">95 </w:t>
      </w:r>
      <w:r w:rsidR="008907D0" w:rsidRPr="00A45056">
        <w:rPr>
          <w:rFonts w:ascii="Verdana" w:hAnsi="Verdana"/>
          <w:color w:val="000000" w:themeColor="text1"/>
          <w:sz w:val="20"/>
          <w:szCs w:val="20"/>
        </w:rPr>
        <w:t xml:space="preserve">(recante l’attuazione della disciplina, </w:t>
      </w:r>
      <w:proofErr w:type="spellStart"/>
      <w:r w:rsidR="008907D0" w:rsidRPr="00A45056">
        <w:rPr>
          <w:rFonts w:ascii="Verdana" w:hAnsi="Verdana"/>
          <w:i/>
          <w:color w:val="000000" w:themeColor="text1"/>
          <w:sz w:val="20"/>
          <w:szCs w:val="20"/>
        </w:rPr>
        <w:t>illo</w:t>
      </w:r>
      <w:proofErr w:type="spellEnd"/>
      <w:r w:rsidR="008907D0" w:rsidRPr="00A45056">
        <w:rPr>
          <w:rFonts w:ascii="Verdana" w:hAnsi="Verdana"/>
          <w:i/>
          <w:color w:val="000000" w:themeColor="text1"/>
          <w:sz w:val="20"/>
          <w:szCs w:val="20"/>
        </w:rPr>
        <w:t xml:space="preserve"> tempore </w:t>
      </w:r>
      <w:r w:rsidR="008907D0" w:rsidRPr="00A45056">
        <w:rPr>
          <w:rFonts w:ascii="Verdana" w:hAnsi="Verdana"/>
          <w:color w:val="000000" w:themeColor="text1"/>
          <w:sz w:val="20"/>
          <w:szCs w:val="20"/>
        </w:rPr>
        <w:t>vigente, in materia di appalti di pubblici servizi</w:t>
      </w:r>
      <w:r w:rsidR="00093B93">
        <w:rPr>
          <w:rFonts w:ascii="Verdana" w:hAnsi="Verdana"/>
          <w:color w:val="000000" w:themeColor="text1"/>
          <w:sz w:val="20"/>
          <w:szCs w:val="20"/>
        </w:rPr>
        <w:t>)</w:t>
      </w:r>
      <w:r w:rsidR="00977D9B" w:rsidRPr="00A45056">
        <w:rPr>
          <w:rFonts w:ascii="Verdana" w:hAnsi="Verdana"/>
          <w:color w:val="000000" w:themeColor="text1"/>
          <w:sz w:val="20"/>
          <w:szCs w:val="20"/>
        </w:rPr>
        <w:t>, in un periodo precedente ai principi affermati con il</w:t>
      </w:r>
      <w:r w:rsidR="00FA690F" w:rsidRPr="00A45056">
        <w:rPr>
          <w:rFonts w:ascii="Verdana" w:hAnsi="Verdana"/>
          <w:color w:val="000000" w:themeColor="text1"/>
          <w:sz w:val="20"/>
          <w:szCs w:val="20"/>
        </w:rPr>
        <w:t xml:space="preserve"> formante </w:t>
      </w:r>
      <w:r w:rsidR="00977D9B" w:rsidRPr="00A45056">
        <w:rPr>
          <w:rFonts w:ascii="Verdana" w:hAnsi="Verdana"/>
          <w:color w:val="000000" w:themeColor="text1"/>
          <w:sz w:val="20"/>
          <w:szCs w:val="20"/>
        </w:rPr>
        <w:t xml:space="preserve">giurisprudenziale </w:t>
      </w:r>
      <w:r w:rsidR="00FA690F" w:rsidRPr="00A45056">
        <w:rPr>
          <w:rFonts w:ascii="Verdana" w:hAnsi="Verdana"/>
          <w:color w:val="000000" w:themeColor="text1"/>
          <w:sz w:val="20"/>
          <w:szCs w:val="20"/>
        </w:rPr>
        <w:t>costituito dal</w:t>
      </w:r>
      <w:r w:rsidR="00977D9B" w:rsidRPr="00A45056">
        <w:rPr>
          <w:rFonts w:ascii="Verdana" w:hAnsi="Verdana"/>
          <w:color w:val="000000" w:themeColor="text1"/>
          <w:sz w:val="20"/>
          <w:szCs w:val="20"/>
        </w:rPr>
        <w:t>la Adunanza plenaria n. 1/2008.</w:t>
      </w:r>
    </w:p>
    <w:p w:rsidR="00C567D9" w:rsidRPr="00A45056" w:rsidRDefault="00977D9B" w:rsidP="00B028EA">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In disparte alla tecnicalità della procedura competitiva, la cui </w:t>
      </w:r>
      <w:proofErr w:type="spellStart"/>
      <w:r w:rsidRPr="00A45056">
        <w:rPr>
          <w:rFonts w:ascii="Verdana" w:hAnsi="Verdana"/>
          <w:i/>
          <w:color w:val="000000" w:themeColor="text1"/>
          <w:sz w:val="20"/>
          <w:szCs w:val="20"/>
        </w:rPr>
        <w:t>lex</w:t>
      </w:r>
      <w:proofErr w:type="spellEnd"/>
      <w:r w:rsidRPr="00A45056">
        <w:rPr>
          <w:rFonts w:ascii="Verdana" w:hAnsi="Verdana"/>
          <w:i/>
          <w:color w:val="000000" w:themeColor="text1"/>
          <w:sz w:val="20"/>
          <w:szCs w:val="20"/>
        </w:rPr>
        <w:t xml:space="preserve"> </w:t>
      </w:r>
      <w:proofErr w:type="spellStart"/>
      <w:r w:rsidRPr="00A45056">
        <w:rPr>
          <w:rFonts w:ascii="Verdana" w:hAnsi="Verdana"/>
          <w:i/>
          <w:color w:val="000000" w:themeColor="text1"/>
          <w:sz w:val="20"/>
          <w:szCs w:val="20"/>
        </w:rPr>
        <w:t>specialis</w:t>
      </w:r>
      <w:proofErr w:type="spellEnd"/>
      <w:r w:rsidR="002F59AC" w:rsidRPr="00A45056">
        <w:rPr>
          <w:rFonts w:ascii="Verdana" w:hAnsi="Verdana"/>
          <w:color w:val="000000" w:themeColor="text1"/>
          <w:sz w:val="20"/>
          <w:szCs w:val="20"/>
        </w:rPr>
        <w:t>, peraltro,</w:t>
      </w:r>
      <w:r w:rsidRPr="00A45056">
        <w:rPr>
          <w:rFonts w:ascii="Verdana" w:hAnsi="Verdana"/>
          <w:color w:val="000000" w:themeColor="text1"/>
          <w:sz w:val="20"/>
          <w:szCs w:val="20"/>
        </w:rPr>
        <w:t xml:space="preserve"> prende in considerazione la congruità del piano industriale dei candidati alla partecipazione sociale</w:t>
      </w:r>
      <w:r w:rsidR="005420BA" w:rsidRPr="00A45056">
        <w:rPr>
          <w:rFonts w:ascii="Verdana" w:hAnsi="Verdana"/>
          <w:color w:val="000000" w:themeColor="text1"/>
          <w:sz w:val="20"/>
          <w:szCs w:val="20"/>
        </w:rPr>
        <w:t xml:space="preserve">, la scelta del modulo organizzativo a monte, </w:t>
      </w:r>
      <w:r w:rsidR="00A70020" w:rsidRPr="00A45056">
        <w:rPr>
          <w:rFonts w:ascii="Verdana" w:hAnsi="Verdana"/>
          <w:color w:val="000000" w:themeColor="text1"/>
          <w:sz w:val="20"/>
          <w:szCs w:val="20"/>
        </w:rPr>
        <w:t xml:space="preserve">è stata fatta </w:t>
      </w:r>
      <w:r w:rsidR="00C567D9" w:rsidRPr="00A45056">
        <w:rPr>
          <w:rFonts w:ascii="Verdana" w:hAnsi="Verdana"/>
          <w:color w:val="000000" w:themeColor="text1"/>
          <w:sz w:val="20"/>
          <w:szCs w:val="20"/>
        </w:rPr>
        <w:t>sulla base del D.P.R. n. 533/</w:t>
      </w:r>
      <w:r w:rsidR="00832D69" w:rsidRPr="00A45056">
        <w:rPr>
          <w:rFonts w:ascii="Verdana" w:hAnsi="Verdana"/>
          <w:color w:val="000000" w:themeColor="text1"/>
          <w:sz w:val="20"/>
          <w:szCs w:val="20"/>
        </w:rPr>
        <w:t>1996</w:t>
      </w:r>
      <w:r w:rsidR="00A70020" w:rsidRPr="00A45056">
        <w:rPr>
          <w:rFonts w:ascii="Verdana" w:hAnsi="Verdana"/>
          <w:color w:val="000000" w:themeColor="text1"/>
          <w:sz w:val="20"/>
          <w:szCs w:val="20"/>
        </w:rPr>
        <w:t xml:space="preserve"> ritenuto applicabile in combinato disposto con </w:t>
      </w:r>
      <w:r w:rsidR="00832D69" w:rsidRPr="00A45056">
        <w:rPr>
          <w:rFonts w:ascii="Verdana" w:hAnsi="Verdana"/>
          <w:color w:val="000000" w:themeColor="text1"/>
          <w:sz w:val="20"/>
          <w:szCs w:val="20"/>
        </w:rPr>
        <w:t xml:space="preserve">l’art. 9 della </w:t>
      </w:r>
      <w:r w:rsidR="00DA0E2B" w:rsidRPr="00A45056">
        <w:rPr>
          <w:rFonts w:ascii="Verdana" w:hAnsi="Verdana"/>
          <w:color w:val="000000" w:themeColor="text1"/>
          <w:sz w:val="20"/>
          <w:szCs w:val="20"/>
        </w:rPr>
        <w:t>Legge M</w:t>
      </w:r>
      <w:r w:rsidR="00FA690F" w:rsidRPr="00A45056">
        <w:rPr>
          <w:rFonts w:ascii="Verdana" w:hAnsi="Verdana"/>
          <w:color w:val="000000" w:themeColor="text1"/>
          <w:sz w:val="20"/>
          <w:szCs w:val="20"/>
        </w:rPr>
        <w:t>ariotti (L. n. 475/1968).</w:t>
      </w:r>
    </w:p>
    <w:p w:rsidR="00832D69" w:rsidRPr="00A45056" w:rsidRDefault="00BA2DC1" w:rsidP="00B028EA">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Segnatamente il D.P</w:t>
      </w:r>
      <w:r w:rsidR="001E05B0" w:rsidRPr="00A45056">
        <w:rPr>
          <w:rFonts w:ascii="Verdana" w:hAnsi="Verdana"/>
          <w:color w:val="000000" w:themeColor="text1"/>
          <w:sz w:val="20"/>
          <w:szCs w:val="20"/>
        </w:rPr>
        <w:t xml:space="preserve">.R. n. 533/1996 è un regolamento </w:t>
      </w:r>
      <w:r w:rsidR="00742EA3" w:rsidRPr="00A45056">
        <w:rPr>
          <w:rFonts w:ascii="Verdana" w:hAnsi="Verdana"/>
          <w:color w:val="000000" w:themeColor="text1"/>
          <w:sz w:val="20"/>
          <w:szCs w:val="20"/>
        </w:rPr>
        <w:t xml:space="preserve">governativo </w:t>
      </w:r>
      <w:r w:rsidR="001E05B0" w:rsidRPr="00A45056">
        <w:rPr>
          <w:rFonts w:ascii="Verdana" w:hAnsi="Verdana"/>
          <w:color w:val="000000" w:themeColor="text1"/>
          <w:sz w:val="20"/>
          <w:szCs w:val="20"/>
        </w:rPr>
        <w:t xml:space="preserve">d’attuazione dell’art. 12 della L. n. </w:t>
      </w:r>
      <w:r w:rsidR="00F26CC6" w:rsidRPr="00A45056">
        <w:rPr>
          <w:rFonts w:ascii="Verdana" w:hAnsi="Verdana"/>
          <w:color w:val="000000" w:themeColor="text1"/>
          <w:sz w:val="20"/>
          <w:szCs w:val="20"/>
        </w:rPr>
        <w:t>498/</w:t>
      </w:r>
      <w:r w:rsidR="00B17E05">
        <w:rPr>
          <w:rFonts w:ascii="Verdana" w:hAnsi="Verdana"/>
          <w:color w:val="000000" w:themeColor="text1"/>
          <w:sz w:val="20"/>
          <w:szCs w:val="20"/>
        </w:rPr>
        <w:t>199</w:t>
      </w:r>
      <w:r w:rsidR="00B17E05" w:rsidRPr="00A45056">
        <w:rPr>
          <w:rFonts w:ascii="Verdana" w:hAnsi="Verdana"/>
          <w:color w:val="000000" w:themeColor="text1"/>
          <w:sz w:val="20"/>
          <w:szCs w:val="20"/>
        </w:rPr>
        <w:t>2</w:t>
      </w:r>
      <w:r w:rsidR="00742EA3" w:rsidRPr="00A45056">
        <w:rPr>
          <w:rFonts w:ascii="Verdana" w:hAnsi="Verdana"/>
          <w:color w:val="000000" w:themeColor="text1"/>
          <w:sz w:val="20"/>
          <w:szCs w:val="20"/>
        </w:rPr>
        <w:t>.</w:t>
      </w:r>
    </w:p>
    <w:p w:rsidR="00C27C2B" w:rsidRPr="00A45056" w:rsidRDefault="00B17E05" w:rsidP="00C27C2B">
      <w:pPr>
        <w:shd w:val="clear" w:color="auto" w:fill="FEFFFF"/>
        <w:spacing w:line="360" w:lineRule="auto"/>
        <w:ind w:firstLine="354"/>
        <w:jc w:val="both"/>
        <w:rPr>
          <w:rFonts w:ascii="Verdana" w:hAnsi="Verdana"/>
          <w:color w:val="000000" w:themeColor="text1"/>
          <w:sz w:val="20"/>
          <w:szCs w:val="20"/>
        </w:rPr>
      </w:pPr>
      <w:r>
        <w:rPr>
          <w:rFonts w:ascii="Verdana" w:hAnsi="Verdana"/>
          <w:color w:val="000000" w:themeColor="text1"/>
          <w:sz w:val="20"/>
          <w:szCs w:val="20"/>
        </w:rPr>
        <w:t>Tale ultima norma</w:t>
      </w:r>
      <w:r w:rsidR="00742EA3" w:rsidRPr="00A45056">
        <w:rPr>
          <w:rFonts w:ascii="Verdana" w:hAnsi="Verdana"/>
          <w:color w:val="000000" w:themeColor="text1"/>
          <w:sz w:val="20"/>
          <w:szCs w:val="20"/>
        </w:rPr>
        <w:t xml:space="preserve"> </w:t>
      </w:r>
      <w:r>
        <w:rPr>
          <w:rFonts w:ascii="Verdana" w:hAnsi="Verdana"/>
          <w:color w:val="000000" w:themeColor="text1"/>
          <w:sz w:val="20"/>
          <w:szCs w:val="20"/>
        </w:rPr>
        <w:t xml:space="preserve">aveva </w:t>
      </w:r>
      <w:r w:rsidRPr="00A45056">
        <w:rPr>
          <w:rFonts w:ascii="Verdana" w:hAnsi="Verdana"/>
          <w:color w:val="000000" w:themeColor="text1"/>
          <w:sz w:val="20"/>
          <w:szCs w:val="20"/>
        </w:rPr>
        <w:t>introd</w:t>
      </w:r>
      <w:r>
        <w:rPr>
          <w:rFonts w:ascii="Verdana" w:hAnsi="Verdana"/>
          <w:color w:val="000000" w:themeColor="text1"/>
          <w:sz w:val="20"/>
          <w:szCs w:val="20"/>
        </w:rPr>
        <w:t>otto,</w:t>
      </w:r>
      <w:r w:rsidRPr="00A45056">
        <w:rPr>
          <w:rFonts w:ascii="Verdana" w:hAnsi="Verdana"/>
          <w:color w:val="000000" w:themeColor="text1"/>
          <w:sz w:val="20"/>
          <w:szCs w:val="20"/>
        </w:rPr>
        <w:t xml:space="preserve"> </w:t>
      </w:r>
      <w:r w:rsidR="00742EA3" w:rsidRPr="00A45056">
        <w:rPr>
          <w:rFonts w:ascii="Verdana" w:hAnsi="Verdana"/>
          <w:color w:val="000000" w:themeColor="text1"/>
          <w:sz w:val="20"/>
          <w:szCs w:val="20"/>
        </w:rPr>
        <w:t xml:space="preserve">tra i moduli di affidamento </w:t>
      </w:r>
      <w:r>
        <w:rPr>
          <w:rFonts w:ascii="Verdana" w:hAnsi="Verdana"/>
          <w:color w:val="000000" w:themeColor="text1"/>
          <w:sz w:val="20"/>
          <w:szCs w:val="20"/>
        </w:rPr>
        <w:t xml:space="preserve">dei servizi pubblici </w:t>
      </w:r>
      <w:r w:rsidR="00742EA3" w:rsidRPr="00A45056">
        <w:rPr>
          <w:rFonts w:ascii="Verdana" w:hAnsi="Verdana"/>
          <w:color w:val="000000" w:themeColor="text1"/>
          <w:sz w:val="20"/>
          <w:szCs w:val="20"/>
        </w:rPr>
        <w:t xml:space="preserve">già previsti dell’allora vigente </w:t>
      </w:r>
      <w:r w:rsidR="00766C9A" w:rsidRPr="00A45056">
        <w:rPr>
          <w:rFonts w:ascii="Verdana" w:hAnsi="Verdana"/>
          <w:color w:val="000000" w:themeColor="text1"/>
          <w:sz w:val="20"/>
          <w:szCs w:val="20"/>
        </w:rPr>
        <w:t>art. 22</w:t>
      </w:r>
      <w:r w:rsidR="00DD6F11" w:rsidRPr="00A45056">
        <w:rPr>
          <w:rFonts w:ascii="Verdana" w:hAnsi="Verdana"/>
          <w:color w:val="000000" w:themeColor="text1"/>
          <w:sz w:val="20"/>
          <w:szCs w:val="20"/>
        </w:rPr>
        <w:t xml:space="preserve">, comma 3, </w:t>
      </w:r>
      <w:r w:rsidR="00766C9A" w:rsidRPr="00A45056">
        <w:rPr>
          <w:rFonts w:ascii="Verdana" w:hAnsi="Verdana"/>
          <w:color w:val="000000" w:themeColor="text1"/>
          <w:sz w:val="20"/>
          <w:szCs w:val="20"/>
        </w:rPr>
        <w:t>della L. n. 142/1990</w:t>
      </w:r>
      <w:r w:rsidR="00DD6F11" w:rsidRPr="00A45056">
        <w:rPr>
          <w:rFonts w:ascii="Verdana" w:hAnsi="Verdana"/>
          <w:color w:val="000000" w:themeColor="text1"/>
          <w:sz w:val="20"/>
          <w:szCs w:val="20"/>
        </w:rPr>
        <w:t xml:space="preserve">, </w:t>
      </w:r>
      <w:r w:rsidR="00A70020" w:rsidRPr="00A45056">
        <w:rPr>
          <w:rFonts w:ascii="Verdana" w:hAnsi="Verdana"/>
          <w:color w:val="000000" w:themeColor="text1"/>
          <w:sz w:val="20"/>
          <w:szCs w:val="20"/>
        </w:rPr>
        <w:t>la possibilità, per gli enti locali, di gestire i propri servizi pubblici nelle seguenti forme</w:t>
      </w:r>
      <w:r w:rsidR="00C27C2B" w:rsidRPr="00A45056">
        <w:rPr>
          <w:rFonts w:ascii="Verdana" w:hAnsi="Verdana"/>
          <w:color w:val="000000" w:themeColor="text1"/>
          <w:sz w:val="20"/>
          <w:szCs w:val="20"/>
        </w:rPr>
        <w:t>:</w:t>
      </w:r>
    </w:p>
    <w:p w:rsidR="00C27C2B" w:rsidRPr="00A45056" w:rsidRDefault="00C27C2B" w:rsidP="00C27C2B">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a) in economia, quando per le modeste dimensioni o per le caratteristiche del servizio non sia opportuno costituire una istituzione o una azienda;</w:t>
      </w:r>
    </w:p>
    <w:p w:rsidR="00C27C2B" w:rsidRPr="00A45056" w:rsidRDefault="00C27C2B" w:rsidP="00C27C2B">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b) in concessione a terzi, quando sussistano ragioni tecniche, economiche e di </w:t>
      </w:r>
      <w:r w:rsidR="001A326B" w:rsidRPr="00A45056">
        <w:rPr>
          <w:rFonts w:ascii="Verdana" w:hAnsi="Verdana"/>
          <w:color w:val="000000" w:themeColor="text1"/>
          <w:sz w:val="20"/>
          <w:szCs w:val="20"/>
        </w:rPr>
        <w:t>opportunità</w:t>
      </w:r>
      <w:r w:rsidRPr="00A45056">
        <w:rPr>
          <w:rFonts w:ascii="Verdana" w:hAnsi="Verdana"/>
          <w:color w:val="000000" w:themeColor="text1"/>
          <w:sz w:val="20"/>
          <w:szCs w:val="20"/>
        </w:rPr>
        <w:t xml:space="preserve"> sociale;</w:t>
      </w:r>
    </w:p>
    <w:p w:rsidR="00C27C2B" w:rsidRPr="00A45056" w:rsidRDefault="00C27C2B" w:rsidP="00C27C2B">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c) a mezzo di azienda special</w:t>
      </w:r>
      <w:r w:rsidR="001A326B" w:rsidRPr="00A45056">
        <w:rPr>
          <w:rFonts w:ascii="Verdana" w:hAnsi="Verdana"/>
          <w:color w:val="000000" w:themeColor="text1"/>
          <w:sz w:val="20"/>
          <w:szCs w:val="20"/>
        </w:rPr>
        <w:t>e, anche per la gestione di più</w:t>
      </w:r>
      <w:r w:rsidRPr="00A45056">
        <w:rPr>
          <w:rFonts w:ascii="Verdana" w:hAnsi="Verdana"/>
          <w:color w:val="000000" w:themeColor="text1"/>
          <w:sz w:val="20"/>
          <w:szCs w:val="20"/>
        </w:rPr>
        <w:t xml:space="preserve"> servizi di rilevanza economica ed imprenditoriale;</w:t>
      </w:r>
    </w:p>
    <w:p w:rsidR="00C27C2B" w:rsidRPr="00A45056" w:rsidRDefault="00C27C2B" w:rsidP="00C27C2B">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d) a mezzo di istituzione, per l'esercizio di servizi sociali senza rilevanza imprenditoriale;</w:t>
      </w:r>
    </w:p>
    <w:p w:rsidR="00C27C2B" w:rsidRPr="00A45056" w:rsidRDefault="00C27C2B" w:rsidP="00C27C2B">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e) a mezzo di società per azioni a prevalente capitale pubblico locale, qualora si renda opportuna, in relazione alla natura del servizio da erogare, la partecipazione di altri soggetti pubblici o privati. </w:t>
      </w:r>
    </w:p>
    <w:p w:rsidR="002F58D2" w:rsidRPr="00A45056" w:rsidRDefault="00DD6F11" w:rsidP="00B028EA">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Il D.P.R. n. 533/1996</w:t>
      </w:r>
      <w:r w:rsidR="00B17E05">
        <w:rPr>
          <w:rFonts w:ascii="Verdana" w:hAnsi="Verdana"/>
          <w:color w:val="000000" w:themeColor="text1"/>
          <w:sz w:val="20"/>
          <w:szCs w:val="20"/>
        </w:rPr>
        <w:t>, adottato, come detto,</w:t>
      </w:r>
      <w:r w:rsidR="00021BD7" w:rsidRPr="00A45056">
        <w:rPr>
          <w:rFonts w:ascii="Verdana" w:hAnsi="Verdana"/>
          <w:color w:val="000000" w:themeColor="text1"/>
          <w:sz w:val="20"/>
          <w:szCs w:val="20"/>
        </w:rPr>
        <w:t xml:space="preserve"> in attuazione</w:t>
      </w:r>
      <w:r w:rsidR="000B1FFC" w:rsidRPr="00A45056">
        <w:rPr>
          <w:rFonts w:ascii="Verdana" w:hAnsi="Verdana"/>
          <w:color w:val="000000" w:themeColor="text1"/>
          <w:sz w:val="20"/>
          <w:szCs w:val="20"/>
        </w:rPr>
        <w:t xml:space="preserve"> dell’art. 12 della L. n. 498/1992</w:t>
      </w:r>
      <w:r w:rsidR="005939D1" w:rsidRPr="00A45056">
        <w:rPr>
          <w:rFonts w:ascii="Verdana" w:hAnsi="Verdana"/>
          <w:color w:val="000000" w:themeColor="text1"/>
          <w:sz w:val="20"/>
          <w:szCs w:val="20"/>
        </w:rPr>
        <w:t xml:space="preserve"> e dell’art. 4 </w:t>
      </w:r>
      <w:r w:rsidR="00E85AAD" w:rsidRPr="00A45056">
        <w:rPr>
          <w:rFonts w:ascii="Verdana" w:hAnsi="Verdana"/>
          <w:color w:val="000000" w:themeColor="text1"/>
          <w:sz w:val="20"/>
          <w:szCs w:val="20"/>
        </w:rPr>
        <w:t>del D.L. n. 26/1995 (</w:t>
      </w:r>
      <w:proofErr w:type="spellStart"/>
      <w:r w:rsidR="00E85AAD" w:rsidRPr="00A45056">
        <w:rPr>
          <w:rFonts w:ascii="Verdana" w:hAnsi="Verdana"/>
          <w:color w:val="000000" w:themeColor="text1"/>
          <w:sz w:val="20"/>
          <w:szCs w:val="20"/>
        </w:rPr>
        <w:t>conv</w:t>
      </w:r>
      <w:proofErr w:type="spellEnd"/>
      <w:r w:rsidR="00E85AAD" w:rsidRPr="00A45056">
        <w:rPr>
          <w:rFonts w:ascii="Verdana" w:hAnsi="Verdana"/>
          <w:color w:val="000000" w:themeColor="text1"/>
          <w:sz w:val="20"/>
          <w:szCs w:val="20"/>
        </w:rPr>
        <w:t xml:space="preserve">. L. n. 9/1995) </w:t>
      </w:r>
      <w:r w:rsidR="00490ADC" w:rsidRPr="00A45056">
        <w:rPr>
          <w:rFonts w:ascii="Verdana" w:hAnsi="Verdana"/>
          <w:color w:val="000000" w:themeColor="text1"/>
          <w:sz w:val="20"/>
          <w:szCs w:val="20"/>
        </w:rPr>
        <w:t>inseriva</w:t>
      </w:r>
      <w:r w:rsidR="000B1FFC" w:rsidRPr="00A45056">
        <w:rPr>
          <w:rFonts w:ascii="Verdana" w:hAnsi="Verdana"/>
          <w:color w:val="000000" w:themeColor="text1"/>
          <w:sz w:val="20"/>
          <w:szCs w:val="20"/>
        </w:rPr>
        <w:t xml:space="preserve"> una sesta forma </w:t>
      </w:r>
      <w:r w:rsidR="00B17E05">
        <w:rPr>
          <w:rFonts w:ascii="Verdana" w:hAnsi="Verdana"/>
          <w:color w:val="000000" w:themeColor="text1"/>
          <w:sz w:val="20"/>
          <w:szCs w:val="20"/>
        </w:rPr>
        <w:t xml:space="preserve">di gestione dei servizi pubblici rispetto a quelle soprarichiamate, segnatamente prevedendo la </w:t>
      </w:r>
      <w:r w:rsidR="00B17E05" w:rsidRPr="00A45056">
        <w:rPr>
          <w:rFonts w:ascii="Verdana" w:hAnsi="Verdana"/>
          <w:color w:val="000000" w:themeColor="text1"/>
          <w:sz w:val="20"/>
          <w:szCs w:val="20"/>
        </w:rPr>
        <w:t>possibil</w:t>
      </w:r>
      <w:r w:rsidR="00B17E05">
        <w:rPr>
          <w:rFonts w:ascii="Verdana" w:hAnsi="Verdana"/>
          <w:color w:val="000000" w:themeColor="text1"/>
          <w:sz w:val="20"/>
          <w:szCs w:val="20"/>
        </w:rPr>
        <w:t>ità di</w:t>
      </w:r>
      <w:r w:rsidR="00B17E05" w:rsidRPr="00A45056">
        <w:rPr>
          <w:rFonts w:ascii="Verdana" w:hAnsi="Verdana"/>
          <w:color w:val="000000" w:themeColor="text1"/>
          <w:sz w:val="20"/>
          <w:szCs w:val="20"/>
        </w:rPr>
        <w:t xml:space="preserve"> </w:t>
      </w:r>
      <w:r w:rsidR="00E85AAD" w:rsidRPr="00A45056">
        <w:rPr>
          <w:rFonts w:ascii="Verdana" w:hAnsi="Verdana"/>
          <w:color w:val="000000" w:themeColor="text1"/>
          <w:sz w:val="20"/>
          <w:szCs w:val="20"/>
        </w:rPr>
        <w:t>costituire una</w:t>
      </w:r>
      <w:r w:rsidR="00FB0CF0" w:rsidRPr="00A45056">
        <w:rPr>
          <w:rFonts w:ascii="Verdana" w:hAnsi="Verdana"/>
          <w:color w:val="000000" w:themeColor="text1"/>
          <w:sz w:val="20"/>
          <w:szCs w:val="20"/>
        </w:rPr>
        <w:t xml:space="preserve"> società</w:t>
      </w:r>
      <w:r w:rsidR="000B1FFC" w:rsidRPr="00A45056">
        <w:rPr>
          <w:rFonts w:ascii="Verdana" w:hAnsi="Verdana"/>
          <w:color w:val="000000" w:themeColor="text1"/>
          <w:sz w:val="20"/>
          <w:szCs w:val="20"/>
        </w:rPr>
        <w:t xml:space="preserve"> mista che, </w:t>
      </w:r>
      <w:r w:rsidR="00FB0CF0" w:rsidRPr="00A45056">
        <w:rPr>
          <w:rFonts w:ascii="Verdana" w:hAnsi="Verdana"/>
          <w:color w:val="000000" w:themeColor="text1"/>
          <w:sz w:val="20"/>
          <w:szCs w:val="20"/>
        </w:rPr>
        <w:t>a differenza di quella di cui alla lettere e)</w:t>
      </w:r>
      <w:r w:rsidR="000B1FFC" w:rsidRPr="00A45056">
        <w:rPr>
          <w:rFonts w:ascii="Verdana" w:hAnsi="Verdana"/>
          <w:color w:val="000000" w:themeColor="text1"/>
          <w:sz w:val="20"/>
          <w:szCs w:val="20"/>
        </w:rPr>
        <w:t>, poteva essere basata su un</w:t>
      </w:r>
      <w:r w:rsidR="001A7C46" w:rsidRPr="00A45056">
        <w:rPr>
          <w:rFonts w:ascii="Verdana" w:hAnsi="Verdana"/>
          <w:color w:val="000000" w:themeColor="text1"/>
          <w:sz w:val="20"/>
          <w:szCs w:val="20"/>
        </w:rPr>
        <w:t xml:space="preserve"> capitale privato maggioritario. </w:t>
      </w:r>
      <w:r w:rsidR="0045681C" w:rsidRPr="00A45056">
        <w:rPr>
          <w:rFonts w:ascii="Verdana" w:hAnsi="Verdana"/>
          <w:color w:val="000000" w:themeColor="text1"/>
          <w:sz w:val="20"/>
          <w:szCs w:val="20"/>
        </w:rPr>
        <w:t>La percentuale minim</w:t>
      </w:r>
      <w:r w:rsidR="001C4F66" w:rsidRPr="00A45056">
        <w:rPr>
          <w:rFonts w:ascii="Verdana" w:hAnsi="Verdana"/>
          <w:color w:val="000000" w:themeColor="text1"/>
          <w:sz w:val="20"/>
          <w:szCs w:val="20"/>
        </w:rPr>
        <w:t xml:space="preserve">a di partecipazione del privato veniva </w:t>
      </w:r>
      <w:proofErr w:type="gramStart"/>
      <w:r w:rsidR="001C4F66" w:rsidRPr="00A45056">
        <w:rPr>
          <w:rFonts w:ascii="Verdana" w:hAnsi="Verdana"/>
          <w:color w:val="000000" w:themeColor="text1"/>
          <w:sz w:val="20"/>
          <w:szCs w:val="20"/>
        </w:rPr>
        <w:t>fissata  ad</w:t>
      </w:r>
      <w:proofErr w:type="gramEnd"/>
      <w:r w:rsidR="001C4F66" w:rsidRPr="00A45056">
        <w:rPr>
          <w:rFonts w:ascii="Verdana" w:hAnsi="Verdana"/>
          <w:color w:val="000000" w:themeColor="text1"/>
          <w:sz w:val="20"/>
          <w:szCs w:val="20"/>
        </w:rPr>
        <w:t xml:space="preserve"> </w:t>
      </w:r>
      <w:r w:rsidR="0045681C" w:rsidRPr="00A45056">
        <w:rPr>
          <w:rFonts w:ascii="Verdana" w:hAnsi="Verdana"/>
          <w:color w:val="000000" w:themeColor="text1"/>
          <w:sz w:val="20"/>
          <w:szCs w:val="20"/>
        </w:rPr>
        <w:t>“almeno”</w:t>
      </w:r>
      <w:r w:rsidR="001C4F66" w:rsidRPr="00A45056">
        <w:rPr>
          <w:rFonts w:ascii="Verdana" w:hAnsi="Verdana"/>
          <w:color w:val="000000" w:themeColor="text1"/>
          <w:sz w:val="20"/>
          <w:szCs w:val="20"/>
        </w:rPr>
        <w:t xml:space="preserve"> il 51%; successivamente</w:t>
      </w:r>
      <w:r w:rsidR="001A7C46" w:rsidRPr="00A45056">
        <w:rPr>
          <w:rFonts w:ascii="Verdana" w:hAnsi="Verdana"/>
          <w:color w:val="000000" w:themeColor="text1"/>
          <w:sz w:val="20"/>
          <w:szCs w:val="20"/>
        </w:rPr>
        <w:t xml:space="preserve"> col D.L. n. 138/2011 (comm</w:t>
      </w:r>
      <w:r w:rsidR="001C4F66" w:rsidRPr="00A45056">
        <w:rPr>
          <w:rFonts w:ascii="Verdana" w:hAnsi="Verdana"/>
          <w:color w:val="000000" w:themeColor="text1"/>
          <w:sz w:val="20"/>
          <w:szCs w:val="20"/>
        </w:rPr>
        <w:t>a 12) la soglia passava al 40% mentre,</w:t>
      </w:r>
      <w:r w:rsidR="0045681C" w:rsidRPr="00A45056">
        <w:rPr>
          <w:rFonts w:ascii="Verdana" w:hAnsi="Verdana"/>
          <w:color w:val="000000" w:themeColor="text1"/>
          <w:sz w:val="20"/>
          <w:szCs w:val="20"/>
        </w:rPr>
        <w:t xml:space="preserve"> </w:t>
      </w:r>
      <w:r w:rsidR="001A7C46" w:rsidRPr="00A45056">
        <w:rPr>
          <w:rFonts w:ascii="Verdana" w:hAnsi="Verdana"/>
          <w:color w:val="000000" w:themeColor="text1"/>
          <w:sz w:val="20"/>
          <w:szCs w:val="20"/>
        </w:rPr>
        <w:t xml:space="preserve">nel nuovo testo unico </w:t>
      </w:r>
      <w:r w:rsidR="001C4F66" w:rsidRPr="00A45056">
        <w:rPr>
          <w:rFonts w:ascii="Verdana" w:hAnsi="Verdana"/>
          <w:color w:val="000000" w:themeColor="text1"/>
          <w:sz w:val="20"/>
          <w:szCs w:val="20"/>
        </w:rPr>
        <w:t xml:space="preserve">sulle società </w:t>
      </w:r>
      <w:r w:rsidR="001A7C46" w:rsidRPr="00A45056">
        <w:rPr>
          <w:rFonts w:ascii="Verdana" w:hAnsi="Verdana"/>
          <w:color w:val="000000" w:themeColor="text1"/>
          <w:sz w:val="20"/>
          <w:szCs w:val="20"/>
        </w:rPr>
        <w:t>partecipate</w:t>
      </w:r>
      <w:r w:rsidR="00B17E05">
        <w:rPr>
          <w:rFonts w:ascii="Verdana" w:hAnsi="Verdana"/>
          <w:color w:val="000000" w:themeColor="text1"/>
          <w:sz w:val="20"/>
          <w:szCs w:val="20"/>
        </w:rPr>
        <w:t>,</w:t>
      </w:r>
      <w:r w:rsidR="001C4F66" w:rsidRPr="00A45056">
        <w:rPr>
          <w:rFonts w:ascii="Verdana" w:hAnsi="Verdana"/>
          <w:color w:val="000000" w:themeColor="text1"/>
          <w:sz w:val="20"/>
          <w:szCs w:val="20"/>
        </w:rPr>
        <w:t xml:space="preserve"> la ridetta soglia</w:t>
      </w:r>
      <w:r w:rsidR="00421A3C" w:rsidRPr="00A45056">
        <w:rPr>
          <w:rFonts w:ascii="Verdana" w:hAnsi="Verdana"/>
          <w:color w:val="000000" w:themeColor="text1"/>
          <w:sz w:val="20"/>
          <w:szCs w:val="20"/>
        </w:rPr>
        <w:t xml:space="preserve"> passa al 30% (art. 17 D.</w:t>
      </w:r>
      <w:r w:rsidR="001A7C46" w:rsidRPr="00A45056">
        <w:rPr>
          <w:rFonts w:ascii="Verdana" w:hAnsi="Verdana"/>
          <w:color w:val="000000" w:themeColor="text1"/>
          <w:sz w:val="20"/>
          <w:szCs w:val="20"/>
        </w:rPr>
        <w:t>lgs</w:t>
      </w:r>
      <w:r w:rsidR="002C16F8" w:rsidRPr="00A45056">
        <w:rPr>
          <w:rFonts w:ascii="Verdana" w:hAnsi="Verdana"/>
          <w:color w:val="000000" w:themeColor="text1"/>
          <w:sz w:val="20"/>
          <w:szCs w:val="20"/>
        </w:rPr>
        <w:t>. n.</w:t>
      </w:r>
      <w:r w:rsidR="001A7C46" w:rsidRPr="00A45056">
        <w:rPr>
          <w:rFonts w:ascii="Verdana" w:hAnsi="Verdana"/>
          <w:color w:val="000000" w:themeColor="text1"/>
          <w:sz w:val="20"/>
          <w:szCs w:val="20"/>
        </w:rPr>
        <w:t xml:space="preserve"> 175/2016</w:t>
      </w:r>
      <w:r w:rsidR="00AD79E4" w:rsidRPr="00A45056">
        <w:rPr>
          <w:rFonts w:ascii="Verdana" w:hAnsi="Verdana"/>
          <w:color w:val="000000" w:themeColor="text1"/>
          <w:sz w:val="20"/>
          <w:szCs w:val="20"/>
        </w:rPr>
        <w:t>, che codifica la disciplina di base delle società</w:t>
      </w:r>
      <w:r w:rsidR="00C102DD" w:rsidRPr="00A45056">
        <w:rPr>
          <w:rFonts w:ascii="Verdana" w:hAnsi="Verdana"/>
          <w:color w:val="000000" w:themeColor="text1"/>
          <w:sz w:val="20"/>
          <w:szCs w:val="20"/>
        </w:rPr>
        <w:t xml:space="preserve"> miste</w:t>
      </w:r>
      <w:r w:rsidR="001A7C46" w:rsidRPr="00A45056">
        <w:rPr>
          <w:rFonts w:ascii="Verdana" w:hAnsi="Verdana"/>
          <w:color w:val="000000" w:themeColor="text1"/>
          <w:sz w:val="20"/>
          <w:szCs w:val="20"/>
        </w:rPr>
        <w:t>)</w:t>
      </w:r>
      <w:r w:rsidR="001C4F66" w:rsidRPr="00A45056">
        <w:rPr>
          <w:rFonts w:ascii="Verdana" w:hAnsi="Verdana"/>
          <w:color w:val="000000" w:themeColor="text1"/>
          <w:sz w:val="20"/>
          <w:szCs w:val="20"/>
        </w:rPr>
        <w:t xml:space="preserve">. </w:t>
      </w:r>
    </w:p>
    <w:p w:rsidR="00923666" w:rsidRPr="00A45056" w:rsidRDefault="00C102DD" w:rsidP="00B028EA">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lastRenderedPageBreak/>
        <w:t xml:space="preserve">La prefata disciplina </w:t>
      </w:r>
      <w:r w:rsidR="004657BE">
        <w:rPr>
          <w:rFonts w:ascii="Verdana" w:hAnsi="Verdana"/>
          <w:color w:val="000000" w:themeColor="text1"/>
          <w:sz w:val="20"/>
          <w:szCs w:val="20"/>
        </w:rPr>
        <w:t xml:space="preserve">si è arricchita nel tempo </w:t>
      </w:r>
      <w:proofErr w:type="gramStart"/>
      <w:r w:rsidR="004657BE">
        <w:rPr>
          <w:rFonts w:ascii="Verdana" w:hAnsi="Verdana"/>
          <w:color w:val="000000" w:themeColor="text1"/>
          <w:sz w:val="20"/>
          <w:szCs w:val="20"/>
        </w:rPr>
        <w:t xml:space="preserve">della </w:t>
      </w:r>
      <w:r w:rsidR="00B3787A">
        <w:rPr>
          <w:rFonts w:ascii="Verdana" w:hAnsi="Verdana"/>
          <w:color w:val="000000" w:themeColor="text1"/>
          <w:sz w:val="20"/>
          <w:szCs w:val="20"/>
        </w:rPr>
        <w:t xml:space="preserve"> distinzione</w:t>
      </w:r>
      <w:proofErr w:type="gramEnd"/>
      <w:r w:rsidR="00B3787A">
        <w:rPr>
          <w:rFonts w:ascii="Verdana" w:hAnsi="Verdana"/>
          <w:color w:val="000000" w:themeColor="text1"/>
          <w:sz w:val="20"/>
          <w:szCs w:val="20"/>
        </w:rPr>
        <w:t xml:space="preserve"> tra</w:t>
      </w:r>
      <w:r w:rsidRPr="00A45056">
        <w:rPr>
          <w:rFonts w:ascii="Verdana" w:hAnsi="Verdana"/>
          <w:color w:val="000000" w:themeColor="text1"/>
          <w:sz w:val="20"/>
          <w:szCs w:val="20"/>
        </w:rPr>
        <w:t xml:space="preserve"> servizi pubblici privi di rilevanza economica e </w:t>
      </w:r>
      <w:r w:rsidR="00B3787A" w:rsidRPr="00A45056">
        <w:rPr>
          <w:rFonts w:ascii="Verdana" w:hAnsi="Verdana"/>
          <w:color w:val="000000" w:themeColor="text1"/>
          <w:sz w:val="20"/>
          <w:szCs w:val="20"/>
        </w:rPr>
        <w:t xml:space="preserve">servizi pubblici </w:t>
      </w:r>
      <w:r w:rsidRPr="00A45056">
        <w:rPr>
          <w:rFonts w:ascii="Verdana" w:hAnsi="Verdana"/>
          <w:color w:val="000000" w:themeColor="text1"/>
          <w:sz w:val="20"/>
          <w:szCs w:val="20"/>
        </w:rPr>
        <w:t>a rilevanza economica</w:t>
      </w:r>
      <w:r w:rsidR="00CD699F">
        <w:rPr>
          <w:rFonts w:ascii="Verdana" w:hAnsi="Verdana"/>
          <w:color w:val="000000" w:themeColor="text1"/>
          <w:sz w:val="20"/>
          <w:szCs w:val="20"/>
        </w:rPr>
        <w:t xml:space="preserve"> (cfr. </w:t>
      </w:r>
      <w:r w:rsidR="00CD699F" w:rsidRPr="004753CD">
        <w:rPr>
          <w:rFonts w:ascii="Verdana" w:hAnsi="Verdana"/>
          <w:i/>
          <w:color w:val="000000" w:themeColor="text1"/>
          <w:sz w:val="20"/>
          <w:szCs w:val="20"/>
        </w:rPr>
        <w:t>infra</w:t>
      </w:r>
      <w:r w:rsidR="00CD699F">
        <w:rPr>
          <w:rFonts w:ascii="Verdana" w:hAnsi="Verdana"/>
          <w:color w:val="000000" w:themeColor="text1"/>
          <w:sz w:val="20"/>
          <w:szCs w:val="20"/>
        </w:rPr>
        <w:t>)</w:t>
      </w:r>
      <w:r w:rsidR="001A2E2B" w:rsidRPr="00A45056">
        <w:rPr>
          <w:rFonts w:ascii="Verdana" w:hAnsi="Verdana"/>
          <w:color w:val="000000" w:themeColor="text1"/>
          <w:sz w:val="20"/>
          <w:szCs w:val="20"/>
        </w:rPr>
        <w:t xml:space="preserve">. Le norme fondamentali sulle modalità di gestione e affidamento di quest’ultimi </w:t>
      </w:r>
      <w:r w:rsidR="001C4F66" w:rsidRPr="00A45056">
        <w:rPr>
          <w:rFonts w:ascii="Verdana" w:hAnsi="Verdana"/>
          <w:color w:val="000000" w:themeColor="text1"/>
          <w:sz w:val="20"/>
          <w:szCs w:val="20"/>
        </w:rPr>
        <w:t xml:space="preserve">sono </w:t>
      </w:r>
      <w:r w:rsidR="00B3787A" w:rsidRPr="00A45056">
        <w:rPr>
          <w:rFonts w:ascii="Verdana" w:hAnsi="Verdana"/>
          <w:color w:val="000000" w:themeColor="text1"/>
          <w:sz w:val="20"/>
          <w:szCs w:val="20"/>
        </w:rPr>
        <w:t>stat</w:t>
      </w:r>
      <w:r w:rsidR="00B3787A">
        <w:rPr>
          <w:rFonts w:ascii="Verdana" w:hAnsi="Verdana"/>
          <w:color w:val="000000" w:themeColor="text1"/>
          <w:sz w:val="20"/>
          <w:szCs w:val="20"/>
        </w:rPr>
        <w:t>e</w:t>
      </w:r>
      <w:r w:rsidR="00B3787A" w:rsidRPr="00A45056">
        <w:rPr>
          <w:rFonts w:ascii="Verdana" w:hAnsi="Verdana"/>
          <w:color w:val="000000" w:themeColor="text1"/>
          <w:sz w:val="20"/>
          <w:szCs w:val="20"/>
        </w:rPr>
        <w:t xml:space="preserve"> </w:t>
      </w:r>
      <w:r w:rsidR="001C4F66" w:rsidRPr="00A45056">
        <w:rPr>
          <w:rFonts w:ascii="Verdana" w:hAnsi="Verdana"/>
          <w:color w:val="000000" w:themeColor="text1"/>
          <w:sz w:val="20"/>
          <w:szCs w:val="20"/>
        </w:rPr>
        <w:t xml:space="preserve">in passato </w:t>
      </w:r>
      <w:r w:rsidR="00B3787A">
        <w:rPr>
          <w:rFonts w:ascii="Verdana" w:hAnsi="Verdana"/>
          <w:color w:val="000000" w:themeColor="text1"/>
          <w:sz w:val="20"/>
          <w:szCs w:val="20"/>
        </w:rPr>
        <w:t>costituite</w:t>
      </w:r>
      <w:r w:rsidR="00B3787A" w:rsidRPr="00A45056">
        <w:rPr>
          <w:rFonts w:ascii="Verdana" w:hAnsi="Verdana"/>
          <w:color w:val="000000" w:themeColor="text1"/>
          <w:sz w:val="20"/>
          <w:szCs w:val="20"/>
        </w:rPr>
        <w:t xml:space="preserve"> </w:t>
      </w:r>
      <w:r w:rsidR="00FB5664" w:rsidRPr="00A45056">
        <w:rPr>
          <w:rFonts w:ascii="Verdana" w:hAnsi="Verdana"/>
          <w:color w:val="000000" w:themeColor="text1"/>
          <w:sz w:val="20"/>
          <w:szCs w:val="20"/>
        </w:rPr>
        <w:t>dall’art. 113 TUEL</w:t>
      </w:r>
      <w:r w:rsidR="0045681C" w:rsidRPr="00A45056">
        <w:rPr>
          <w:rFonts w:ascii="Verdana" w:hAnsi="Verdana"/>
          <w:color w:val="000000" w:themeColor="text1"/>
          <w:sz w:val="20"/>
          <w:szCs w:val="20"/>
        </w:rPr>
        <w:t xml:space="preserve"> </w:t>
      </w:r>
      <w:r w:rsidR="001A2E2B" w:rsidRPr="00A45056">
        <w:rPr>
          <w:rFonts w:ascii="Verdana" w:hAnsi="Verdana"/>
          <w:color w:val="000000" w:themeColor="text1"/>
          <w:sz w:val="20"/>
          <w:szCs w:val="20"/>
        </w:rPr>
        <w:t>e poi dall</w:t>
      </w:r>
      <w:r w:rsidR="00923666" w:rsidRPr="00A45056">
        <w:rPr>
          <w:rFonts w:ascii="Verdana" w:hAnsi="Verdana"/>
          <w:color w:val="000000" w:themeColor="text1"/>
          <w:sz w:val="20"/>
          <w:szCs w:val="20"/>
        </w:rPr>
        <w:t>’art. 23-bis del D.L. n. 112/2008</w:t>
      </w:r>
      <w:r w:rsidR="002F58D2" w:rsidRPr="00A45056">
        <w:rPr>
          <w:rFonts w:ascii="Verdana" w:hAnsi="Verdana"/>
          <w:color w:val="000000" w:themeColor="text1"/>
          <w:sz w:val="20"/>
          <w:szCs w:val="20"/>
        </w:rPr>
        <w:t xml:space="preserve"> in materia di modalità di gestione dei servizi pubblici </w:t>
      </w:r>
      <w:r w:rsidR="00B3787A">
        <w:rPr>
          <w:rFonts w:ascii="Verdana" w:hAnsi="Verdana"/>
          <w:color w:val="000000" w:themeColor="text1"/>
          <w:sz w:val="20"/>
          <w:szCs w:val="20"/>
        </w:rPr>
        <w:t>aventi</w:t>
      </w:r>
      <w:r w:rsidR="00B3787A" w:rsidRPr="00A45056">
        <w:rPr>
          <w:rFonts w:ascii="Verdana" w:hAnsi="Verdana"/>
          <w:color w:val="000000" w:themeColor="text1"/>
          <w:sz w:val="20"/>
          <w:szCs w:val="20"/>
        </w:rPr>
        <w:t xml:space="preserve"> </w:t>
      </w:r>
      <w:r w:rsidR="002F58D2" w:rsidRPr="00A45056">
        <w:rPr>
          <w:rFonts w:ascii="Verdana" w:hAnsi="Verdana"/>
          <w:color w:val="000000" w:themeColor="text1"/>
          <w:sz w:val="20"/>
          <w:szCs w:val="20"/>
        </w:rPr>
        <w:t>rilevanza economica</w:t>
      </w:r>
      <w:r w:rsidR="00923666" w:rsidRPr="00A45056">
        <w:rPr>
          <w:rFonts w:ascii="Verdana" w:hAnsi="Verdana"/>
          <w:color w:val="000000" w:themeColor="text1"/>
          <w:sz w:val="20"/>
          <w:szCs w:val="20"/>
        </w:rPr>
        <w:t>.</w:t>
      </w:r>
      <w:r w:rsidR="00666F90" w:rsidRPr="00A45056">
        <w:rPr>
          <w:rFonts w:ascii="Verdana" w:hAnsi="Verdana"/>
          <w:color w:val="000000" w:themeColor="text1"/>
          <w:sz w:val="20"/>
          <w:szCs w:val="20"/>
        </w:rPr>
        <w:t xml:space="preserve"> </w:t>
      </w:r>
    </w:p>
    <w:p w:rsidR="00923666" w:rsidRPr="00A45056" w:rsidRDefault="00923666" w:rsidP="00923666">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A seguito dell’abrogazione referendaria del prefato art. 23-bis e della pronuncia di illegittimità costituzionale dell’art. 4 del D.L. 138/2011 (che riprendeva temi e contenuti dell’abrogato art. 23 bis, cfr. </w:t>
      </w:r>
      <w:proofErr w:type="spellStart"/>
      <w:r w:rsidRPr="00A45056">
        <w:rPr>
          <w:rFonts w:ascii="Verdana" w:hAnsi="Verdana"/>
          <w:color w:val="000000" w:themeColor="text1"/>
          <w:sz w:val="20"/>
          <w:szCs w:val="20"/>
        </w:rPr>
        <w:t>sent</w:t>
      </w:r>
      <w:proofErr w:type="spellEnd"/>
      <w:r w:rsidRPr="00A45056">
        <w:rPr>
          <w:rFonts w:ascii="Verdana" w:hAnsi="Verdana"/>
          <w:color w:val="000000" w:themeColor="text1"/>
          <w:sz w:val="20"/>
          <w:szCs w:val="20"/>
        </w:rPr>
        <w:t xml:space="preserve">. C. </w:t>
      </w:r>
      <w:proofErr w:type="spellStart"/>
      <w:r w:rsidRPr="00A45056">
        <w:rPr>
          <w:rFonts w:ascii="Verdana" w:hAnsi="Verdana"/>
          <w:color w:val="000000" w:themeColor="text1"/>
          <w:sz w:val="20"/>
          <w:szCs w:val="20"/>
        </w:rPr>
        <w:t>cost</w:t>
      </w:r>
      <w:proofErr w:type="spellEnd"/>
      <w:r w:rsidRPr="00A45056">
        <w:rPr>
          <w:rFonts w:ascii="Verdana" w:hAnsi="Verdana"/>
          <w:color w:val="000000" w:themeColor="text1"/>
          <w:sz w:val="20"/>
          <w:szCs w:val="20"/>
        </w:rPr>
        <w:t xml:space="preserve">. n. 199/2012) </w:t>
      </w:r>
      <w:r w:rsidR="00B3787A">
        <w:rPr>
          <w:rFonts w:ascii="Verdana" w:hAnsi="Verdana"/>
          <w:color w:val="000000" w:themeColor="text1"/>
          <w:sz w:val="20"/>
          <w:szCs w:val="20"/>
        </w:rPr>
        <w:t>la disciplina d</w:t>
      </w:r>
      <w:r w:rsidR="00651A82">
        <w:rPr>
          <w:rFonts w:ascii="Verdana" w:hAnsi="Verdana"/>
          <w:color w:val="000000" w:themeColor="text1"/>
          <w:sz w:val="20"/>
          <w:szCs w:val="20"/>
        </w:rPr>
        <w:t>ell’</w:t>
      </w:r>
      <w:r w:rsidR="00B3787A">
        <w:rPr>
          <w:rFonts w:ascii="Verdana" w:hAnsi="Verdana"/>
          <w:color w:val="000000" w:themeColor="text1"/>
          <w:sz w:val="20"/>
          <w:szCs w:val="20"/>
        </w:rPr>
        <w:t xml:space="preserve">affidamento di </w:t>
      </w:r>
      <w:r w:rsidR="00651A82">
        <w:rPr>
          <w:rFonts w:ascii="Verdana" w:hAnsi="Verdana"/>
          <w:color w:val="000000" w:themeColor="text1"/>
          <w:sz w:val="20"/>
          <w:szCs w:val="20"/>
        </w:rPr>
        <w:t xml:space="preserve">siffatti </w:t>
      </w:r>
      <w:r w:rsidR="00B3787A">
        <w:rPr>
          <w:rFonts w:ascii="Verdana" w:hAnsi="Verdana"/>
          <w:color w:val="000000" w:themeColor="text1"/>
          <w:sz w:val="20"/>
          <w:szCs w:val="20"/>
        </w:rPr>
        <w:t xml:space="preserve">servizi </w:t>
      </w:r>
      <w:r w:rsidR="00651A82">
        <w:rPr>
          <w:rFonts w:ascii="Verdana" w:hAnsi="Verdana"/>
          <w:color w:val="000000" w:themeColor="text1"/>
          <w:sz w:val="20"/>
          <w:szCs w:val="20"/>
        </w:rPr>
        <w:t>è rimasta regolata</w:t>
      </w:r>
      <w:r w:rsidRPr="00A45056">
        <w:rPr>
          <w:rFonts w:ascii="Verdana" w:hAnsi="Verdana"/>
          <w:color w:val="000000" w:themeColor="text1"/>
          <w:sz w:val="20"/>
          <w:szCs w:val="20"/>
        </w:rPr>
        <w:t xml:space="preserve"> dal quadro giuridico comunitario</w:t>
      </w:r>
      <w:r w:rsidR="001954DC">
        <w:rPr>
          <w:rFonts w:ascii="Verdana" w:hAnsi="Verdana"/>
          <w:color w:val="000000" w:themeColor="text1"/>
          <w:sz w:val="20"/>
          <w:szCs w:val="20"/>
        </w:rPr>
        <w:t xml:space="preserve"> e dalla </w:t>
      </w:r>
      <w:r w:rsidRPr="00A45056">
        <w:rPr>
          <w:rFonts w:ascii="Verdana" w:hAnsi="Verdana"/>
          <w:color w:val="000000" w:themeColor="text1"/>
          <w:sz w:val="20"/>
          <w:szCs w:val="20"/>
        </w:rPr>
        <w:t xml:space="preserve">disciplina </w:t>
      </w:r>
      <w:r w:rsidR="00CB6526">
        <w:rPr>
          <w:rFonts w:ascii="Verdana" w:hAnsi="Verdana"/>
          <w:color w:val="000000" w:themeColor="text1"/>
          <w:sz w:val="20"/>
          <w:szCs w:val="20"/>
        </w:rPr>
        <w:t xml:space="preserve">generale derivata, ora riprodotta nel </w:t>
      </w:r>
      <w:r w:rsidRPr="00A45056">
        <w:rPr>
          <w:rFonts w:ascii="Verdana" w:hAnsi="Verdana"/>
          <w:color w:val="000000" w:themeColor="text1"/>
          <w:sz w:val="20"/>
          <w:szCs w:val="20"/>
        </w:rPr>
        <w:t>recente Codice dei contratti pubblici di cui al D.lgs. 50/2016</w:t>
      </w:r>
      <w:r w:rsidR="00661FB0">
        <w:rPr>
          <w:rFonts w:ascii="Verdana" w:hAnsi="Verdana"/>
          <w:color w:val="000000" w:themeColor="text1"/>
          <w:sz w:val="20"/>
          <w:szCs w:val="20"/>
        </w:rPr>
        <w:t xml:space="preserve">. Pertanto, ad oggi, </w:t>
      </w:r>
      <w:r w:rsidRPr="00A45056">
        <w:rPr>
          <w:rFonts w:ascii="Verdana" w:hAnsi="Verdana"/>
          <w:color w:val="000000" w:themeColor="text1"/>
          <w:sz w:val="20"/>
          <w:szCs w:val="20"/>
        </w:rPr>
        <w:t>l’affidamento all’esterno del servizio può avvenire secondo tre diversi modelli:</w:t>
      </w:r>
    </w:p>
    <w:p w:rsidR="00923666" w:rsidRPr="00A45056" w:rsidRDefault="001875A2" w:rsidP="00923666">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i/>
          <w:color w:val="000000" w:themeColor="text1"/>
          <w:sz w:val="20"/>
          <w:szCs w:val="20"/>
        </w:rPr>
        <w:t>i</w:t>
      </w:r>
      <w:r w:rsidR="00923666" w:rsidRPr="00A45056">
        <w:rPr>
          <w:rFonts w:ascii="Verdana" w:hAnsi="Verdana"/>
          <w:i/>
          <w:color w:val="000000" w:themeColor="text1"/>
          <w:sz w:val="20"/>
          <w:szCs w:val="20"/>
        </w:rPr>
        <w:t>.</w:t>
      </w:r>
      <w:r w:rsidR="00923666" w:rsidRPr="00A45056">
        <w:rPr>
          <w:rFonts w:ascii="Verdana" w:hAnsi="Verdana"/>
          <w:color w:val="000000" w:themeColor="text1"/>
          <w:sz w:val="20"/>
          <w:szCs w:val="20"/>
        </w:rPr>
        <w:t xml:space="preserve"> tramite conferimento in favore di soggetti individuati mediante procedure ad evidenza pubblica (c.d. esternalizzazione). I possibili modelli procedurali sono: appalto di lavori e/o servizi; concessione di lavori e/o servizi; concessione di costruzione e gestione; </w:t>
      </w:r>
      <w:proofErr w:type="spellStart"/>
      <w:r w:rsidR="00923666" w:rsidRPr="00A45056">
        <w:rPr>
          <w:rFonts w:ascii="Verdana" w:hAnsi="Verdana"/>
          <w:i/>
          <w:color w:val="000000" w:themeColor="text1"/>
          <w:sz w:val="20"/>
          <w:szCs w:val="20"/>
        </w:rPr>
        <w:t>project</w:t>
      </w:r>
      <w:proofErr w:type="spellEnd"/>
      <w:r w:rsidR="00923666" w:rsidRPr="00A45056">
        <w:rPr>
          <w:rFonts w:ascii="Verdana" w:hAnsi="Verdana"/>
          <w:i/>
          <w:color w:val="000000" w:themeColor="text1"/>
          <w:sz w:val="20"/>
          <w:szCs w:val="20"/>
        </w:rPr>
        <w:t xml:space="preserve"> </w:t>
      </w:r>
      <w:proofErr w:type="spellStart"/>
      <w:r w:rsidR="00923666" w:rsidRPr="00A45056">
        <w:rPr>
          <w:rFonts w:ascii="Verdana" w:hAnsi="Verdana"/>
          <w:i/>
          <w:color w:val="000000" w:themeColor="text1"/>
          <w:sz w:val="20"/>
          <w:szCs w:val="20"/>
        </w:rPr>
        <w:t>financing</w:t>
      </w:r>
      <w:proofErr w:type="spellEnd"/>
      <w:r w:rsidR="00923666" w:rsidRPr="00A45056">
        <w:rPr>
          <w:rFonts w:ascii="Verdana" w:hAnsi="Verdana"/>
          <w:color w:val="000000" w:themeColor="text1"/>
          <w:sz w:val="20"/>
          <w:szCs w:val="20"/>
        </w:rPr>
        <w:t>; finanziamento tramite terzi;</w:t>
      </w:r>
    </w:p>
    <w:p w:rsidR="00923666" w:rsidRPr="00A45056" w:rsidRDefault="001875A2" w:rsidP="00923666">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i/>
          <w:color w:val="000000" w:themeColor="text1"/>
          <w:sz w:val="20"/>
          <w:szCs w:val="20"/>
        </w:rPr>
        <w:t>ii</w:t>
      </w:r>
      <w:r w:rsidR="00923666" w:rsidRPr="00A45056">
        <w:rPr>
          <w:rFonts w:ascii="Verdana" w:hAnsi="Verdana"/>
          <w:i/>
          <w:color w:val="000000" w:themeColor="text1"/>
          <w:sz w:val="20"/>
          <w:szCs w:val="20"/>
        </w:rPr>
        <w:t>.</w:t>
      </w:r>
      <w:r w:rsidR="00923666" w:rsidRPr="00A45056">
        <w:rPr>
          <w:rFonts w:ascii="Verdana" w:hAnsi="Verdana"/>
          <w:color w:val="000000" w:themeColor="text1"/>
          <w:sz w:val="20"/>
          <w:szCs w:val="20"/>
        </w:rPr>
        <w:t xml:space="preserve"> tramite affidamento ad una società mista pubblico-privata. Il noto parere del Consiglio di Stato del 18 aprile 2007, n. 456</w:t>
      </w:r>
      <w:r w:rsidR="00360128" w:rsidRPr="00A45056">
        <w:rPr>
          <w:rFonts w:ascii="Verdana" w:hAnsi="Verdana"/>
          <w:color w:val="000000" w:themeColor="text1"/>
          <w:sz w:val="20"/>
          <w:szCs w:val="20"/>
        </w:rPr>
        <w:t xml:space="preserve"> e poi l’Adunanza plenaria n. 1/2008</w:t>
      </w:r>
      <w:r w:rsidR="00923666" w:rsidRPr="00A45056">
        <w:rPr>
          <w:rFonts w:ascii="Verdana" w:hAnsi="Verdana"/>
          <w:color w:val="000000" w:themeColor="text1"/>
          <w:sz w:val="20"/>
          <w:szCs w:val="20"/>
        </w:rPr>
        <w:t xml:space="preserve"> ha</w:t>
      </w:r>
      <w:r w:rsidR="00360128" w:rsidRPr="00A45056">
        <w:rPr>
          <w:rFonts w:ascii="Verdana" w:hAnsi="Verdana"/>
          <w:color w:val="000000" w:themeColor="text1"/>
          <w:sz w:val="20"/>
          <w:szCs w:val="20"/>
        </w:rPr>
        <w:t>nno</w:t>
      </w:r>
      <w:r w:rsidR="00923666" w:rsidRPr="00A45056">
        <w:rPr>
          <w:rFonts w:ascii="Verdana" w:hAnsi="Verdana"/>
          <w:color w:val="000000" w:themeColor="text1"/>
          <w:sz w:val="20"/>
          <w:szCs w:val="20"/>
        </w:rPr>
        <w:t xml:space="preserve"> equipara</w:t>
      </w:r>
      <w:r w:rsidR="00360128" w:rsidRPr="00A45056">
        <w:rPr>
          <w:rFonts w:ascii="Verdana" w:hAnsi="Verdana"/>
          <w:color w:val="000000" w:themeColor="text1"/>
          <w:sz w:val="20"/>
          <w:szCs w:val="20"/>
        </w:rPr>
        <w:t xml:space="preserve">to </w:t>
      </w:r>
      <w:r w:rsidR="00923666" w:rsidRPr="00A45056">
        <w:rPr>
          <w:rFonts w:ascii="Verdana" w:hAnsi="Verdana"/>
          <w:color w:val="000000" w:themeColor="text1"/>
          <w:sz w:val="20"/>
          <w:szCs w:val="20"/>
        </w:rPr>
        <w:t xml:space="preserve">la gara per l’affidamento del servizio pubblico alla gara per la scelta del socio, nel caso in cui quest’ultimo si configuri come un socio «industriale ed operativo». </w:t>
      </w:r>
      <w:r w:rsidR="00360128" w:rsidRPr="00A45056">
        <w:rPr>
          <w:rFonts w:ascii="Verdana" w:hAnsi="Verdana"/>
          <w:color w:val="000000" w:themeColor="text1"/>
          <w:sz w:val="20"/>
          <w:szCs w:val="20"/>
        </w:rPr>
        <w:t>Ciò nel presupposto dogmatico, da un lato, che il contratto di società sia un modello in grado realizzare gli effetti causali dell’appalto o della concessione</w:t>
      </w:r>
      <w:r w:rsidR="00542F7B" w:rsidRPr="00A45056">
        <w:rPr>
          <w:rFonts w:ascii="Verdana" w:hAnsi="Verdana"/>
          <w:color w:val="000000" w:themeColor="text1"/>
          <w:sz w:val="20"/>
          <w:szCs w:val="20"/>
        </w:rPr>
        <w:t xml:space="preserve"> (cfr. Consiglio di stato</w:t>
      </w:r>
      <w:r w:rsidR="00195C6F" w:rsidRPr="00A45056">
        <w:rPr>
          <w:rFonts w:ascii="Verdana" w:hAnsi="Verdana"/>
          <w:color w:val="000000" w:themeColor="text1"/>
          <w:sz w:val="20"/>
          <w:szCs w:val="20"/>
        </w:rPr>
        <w:t xml:space="preserve">, sez. V, sentenza </w:t>
      </w:r>
      <w:r w:rsidR="00A27C05" w:rsidRPr="00A45056">
        <w:rPr>
          <w:rFonts w:ascii="Verdana" w:hAnsi="Verdana"/>
          <w:color w:val="000000" w:themeColor="text1"/>
          <w:sz w:val="20"/>
          <w:szCs w:val="20"/>
        </w:rPr>
        <w:t>1 luglio 2005, n. 3672</w:t>
      </w:r>
      <w:r w:rsidR="00195C6F" w:rsidRPr="00A45056">
        <w:rPr>
          <w:rFonts w:ascii="Verdana" w:hAnsi="Verdana"/>
          <w:color w:val="000000" w:themeColor="text1"/>
          <w:sz w:val="20"/>
          <w:szCs w:val="20"/>
        </w:rPr>
        <w:t>)</w:t>
      </w:r>
      <w:r w:rsidR="00360128" w:rsidRPr="00A45056">
        <w:rPr>
          <w:rFonts w:ascii="Verdana" w:hAnsi="Verdana"/>
          <w:color w:val="000000" w:themeColor="text1"/>
          <w:sz w:val="20"/>
          <w:szCs w:val="20"/>
        </w:rPr>
        <w:t xml:space="preserve"> e che, dall’altro, una simile scelta </w:t>
      </w:r>
      <w:r w:rsidR="00C10BAE" w:rsidRPr="00A45056">
        <w:rPr>
          <w:rFonts w:ascii="Verdana" w:hAnsi="Verdana"/>
          <w:color w:val="000000" w:themeColor="text1"/>
          <w:sz w:val="20"/>
          <w:szCs w:val="20"/>
        </w:rPr>
        <w:t>negoziale</w:t>
      </w:r>
      <w:r w:rsidR="00360128" w:rsidRPr="00A45056">
        <w:rPr>
          <w:rFonts w:ascii="Verdana" w:hAnsi="Verdana"/>
          <w:color w:val="000000" w:themeColor="text1"/>
          <w:sz w:val="20"/>
          <w:szCs w:val="20"/>
        </w:rPr>
        <w:t xml:space="preserve"> non </w:t>
      </w:r>
      <w:r w:rsidR="00B3787A" w:rsidRPr="00A45056">
        <w:rPr>
          <w:rFonts w:ascii="Verdana" w:hAnsi="Verdana"/>
          <w:color w:val="000000" w:themeColor="text1"/>
          <w:sz w:val="20"/>
          <w:szCs w:val="20"/>
        </w:rPr>
        <w:t>p</w:t>
      </w:r>
      <w:r w:rsidR="0083536D">
        <w:rPr>
          <w:rFonts w:ascii="Verdana" w:hAnsi="Verdana"/>
          <w:color w:val="000000" w:themeColor="text1"/>
          <w:sz w:val="20"/>
          <w:szCs w:val="20"/>
        </w:rPr>
        <w:t>uò costituire</w:t>
      </w:r>
      <w:r w:rsidR="00360128" w:rsidRPr="00A45056">
        <w:rPr>
          <w:rFonts w:ascii="Verdana" w:hAnsi="Verdana"/>
          <w:color w:val="000000" w:themeColor="text1"/>
          <w:sz w:val="20"/>
          <w:szCs w:val="20"/>
        </w:rPr>
        <w:t xml:space="preserve"> uno strumento per eludere </w:t>
      </w:r>
      <w:r w:rsidR="00B3787A">
        <w:rPr>
          <w:rFonts w:ascii="Verdana" w:hAnsi="Verdana"/>
          <w:color w:val="000000" w:themeColor="text1"/>
          <w:sz w:val="20"/>
          <w:szCs w:val="20"/>
        </w:rPr>
        <w:t>i principi</w:t>
      </w:r>
      <w:r w:rsidR="00360128" w:rsidRPr="00A45056">
        <w:rPr>
          <w:rFonts w:ascii="Verdana" w:hAnsi="Verdana"/>
          <w:color w:val="000000" w:themeColor="text1"/>
          <w:sz w:val="20"/>
          <w:szCs w:val="20"/>
        </w:rPr>
        <w:t xml:space="preserve"> comunitari in materia di concorrenz</w:t>
      </w:r>
      <w:r w:rsidR="00B3787A">
        <w:rPr>
          <w:rFonts w:ascii="Verdana" w:hAnsi="Verdana"/>
          <w:color w:val="000000" w:themeColor="text1"/>
          <w:sz w:val="20"/>
          <w:szCs w:val="20"/>
        </w:rPr>
        <w:t>a</w:t>
      </w:r>
      <w:r w:rsidR="00360128" w:rsidRPr="00A45056">
        <w:rPr>
          <w:rFonts w:ascii="Verdana" w:hAnsi="Verdana"/>
          <w:color w:val="000000" w:themeColor="text1"/>
          <w:sz w:val="20"/>
          <w:szCs w:val="20"/>
        </w:rPr>
        <w:t xml:space="preserve">. </w:t>
      </w:r>
      <w:r w:rsidR="00923666" w:rsidRPr="00A45056">
        <w:rPr>
          <w:rFonts w:ascii="Verdana" w:hAnsi="Verdana"/>
          <w:color w:val="000000" w:themeColor="text1"/>
          <w:sz w:val="20"/>
          <w:szCs w:val="20"/>
        </w:rPr>
        <w:t xml:space="preserve">Tale posizione è stata </w:t>
      </w:r>
      <w:r w:rsidR="00532E00" w:rsidRPr="00A45056">
        <w:rPr>
          <w:rFonts w:ascii="Verdana" w:hAnsi="Verdana"/>
          <w:color w:val="000000" w:themeColor="text1"/>
          <w:sz w:val="20"/>
          <w:szCs w:val="20"/>
        </w:rPr>
        <w:t xml:space="preserve">altresì </w:t>
      </w:r>
      <w:r w:rsidR="00923666" w:rsidRPr="00A45056">
        <w:rPr>
          <w:rFonts w:ascii="Verdana" w:hAnsi="Verdana"/>
          <w:color w:val="000000" w:themeColor="text1"/>
          <w:sz w:val="20"/>
          <w:szCs w:val="20"/>
        </w:rPr>
        <w:t>avallata anche dalla Commissione Europea che, nella Comunicazione 5 febbraio 2008 (C/2007/661), ha sottolineato la difficile praticabilità di una doppia procedura di gara. La soluzione della gara unica aveva poi trovato riscontro normativo nella disciplina oggi abrogata dell’art. 4 del D.L. n. 138/2011 che la declinava come gara c.d. a doppio oggetto e oggi nell’art. 17 del D.lgs. n. 175/2016;</w:t>
      </w:r>
    </w:p>
    <w:p w:rsidR="00923666" w:rsidRPr="00A45056" w:rsidRDefault="001875A2" w:rsidP="00923666">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i/>
          <w:color w:val="000000" w:themeColor="text1"/>
          <w:sz w:val="20"/>
          <w:szCs w:val="20"/>
        </w:rPr>
        <w:t>iii</w:t>
      </w:r>
      <w:r w:rsidR="00923666" w:rsidRPr="00A45056">
        <w:rPr>
          <w:rFonts w:ascii="Verdana" w:hAnsi="Verdana"/>
          <w:color w:val="000000" w:themeColor="text1"/>
          <w:sz w:val="20"/>
          <w:szCs w:val="20"/>
        </w:rPr>
        <w:t>. tramite affidamento diretto a società a totale capitale pubblico corrispondente al modello c</w:t>
      </w:r>
      <w:r w:rsidR="001E2720" w:rsidRPr="00A45056">
        <w:rPr>
          <w:rFonts w:ascii="Verdana" w:hAnsi="Verdana"/>
          <w:color w:val="000000" w:themeColor="text1"/>
          <w:sz w:val="20"/>
          <w:szCs w:val="20"/>
        </w:rPr>
        <w:t>.</w:t>
      </w:r>
      <w:r w:rsidR="00923666" w:rsidRPr="00A45056">
        <w:rPr>
          <w:rFonts w:ascii="Verdana" w:hAnsi="Verdana"/>
          <w:color w:val="000000" w:themeColor="text1"/>
          <w:sz w:val="20"/>
          <w:szCs w:val="20"/>
        </w:rPr>
        <w:t xml:space="preserve">d. </w:t>
      </w:r>
      <w:r w:rsidR="00923666" w:rsidRPr="00A45056">
        <w:rPr>
          <w:rFonts w:ascii="Verdana" w:hAnsi="Verdana"/>
          <w:i/>
          <w:color w:val="000000" w:themeColor="text1"/>
          <w:sz w:val="20"/>
          <w:szCs w:val="20"/>
        </w:rPr>
        <w:t xml:space="preserve">in </w:t>
      </w:r>
      <w:proofErr w:type="spellStart"/>
      <w:r w:rsidR="00923666" w:rsidRPr="00A45056">
        <w:rPr>
          <w:rFonts w:ascii="Verdana" w:hAnsi="Verdana"/>
          <w:i/>
          <w:color w:val="000000" w:themeColor="text1"/>
          <w:sz w:val="20"/>
          <w:szCs w:val="20"/>
        </w:rPr>
        <w:t>house</w:t>
      </w:r>
      <w:proofErr w:type="spellEnd"/>
      <w:r w:rsidR="00923666" w:rsidRPr="00A45056">
        <w:rPr>
          <w:rFonts w:ascii="Verdana" w:hAnsi="Verdana"/>
          <w:i/>
          <w:color w:val="000000" w:themeColor="text1"/>
          <w:sz w:val="20"/>
          <w:szCs w:val="20"/>
        </w:rPr>
        <w:t xml:space="preserve"> </w:t>
      </w:r>
      <w:proofErr w:type="spellStart"/>
      <w:r w:rsidR="00923666" w:rsidRPr="00A45056">
        <w:rPr>
          <w:rFonts w:ascii="Verdana" w:hAnsi="Verdana"/>
          <w:i/>
          <w:color w:val="000000" w:themeColor="text1"/>
          <w:sz w:val="20"/>
          <w:szCs w:val="20"/>
        </w:rPr>
        <w:t>providing</w:t>
      </w:r>
      <w:proofErr w:type="spellEnd"/>
      <w:r w:rsidR="00923666" w:rsidRPr="00A45056">
        <w:rPr>
          <w:rFonts w:ascii="Verdana" w:hAnsi="Verdana"/>
          <w:color w:val="000000" w:themeColor="text1"/>
          <w:sz w:val="20"/>
          <w:szCs w:val="20"/>
        </w:rPr>
        <w:t>, che a seguito delle abrogazioni di cui sopra ha visto venire meno diversi vincoli cui era soggetto</w:t>
      </w:r>
      <w:r w:rsidR="00B3787A">
        <w:rPr>
          <w:rFonts w:ascii="Verdana" w:hAnsi="Verdana"/>
          <w:color w:val="000000" w:themeColor="text1"/>
          <w:sz w:val="20"/>
          <w:szCs w:val="20"/>
        </w:rPr>
        <w:t>.</w:t>
      </w:r>
    </w:p>
    <w:p w:rsidR="00923666" w:rsidRPr="00A45056" w:rsidRDefault="001875A2" w:rsidP="00923666">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b/>
          <w:color w:val="000000" w:themeColor="text1"/>
          <w:sz w:val="20"/>
          <w:szCs w:val="20"/>
        </w:rPr>
        <w:t>2.</w:t>
      </w:r>
      <w:r w:rsidRPr="00A45056">
        <w:rPr>
          <w:rFonts w:ascii="Verdana" w:hAnsi="Verdana"/>
          <w:color w:val="000000" w:themeColor="text1"/>
          <w:sz w:val="20"/>
          <w:szCs w:val="20"/>
        </w:rPr>
        <w:t xml:space="preserve"> In questo contesto</w:t>
      </w:r>
      <w:r w:rsidR="001A2E2B" w:rsidRPr="00A45056">
        <w:rPr>
          <w:rFonts w:ascii="Verdana" w:hAnsi="Verdana"/>
          <w:color w:val="000000" w:themeColor="text1"/>
          <w:sz w:val="20"/>
          <w:szCs w:val="20"/>
        </w:rPr>
        <w:t xml:space="preserve">, dunque, per definire la disciplina applicabile al tempo della costituzione del CISS e quindi di </w:t>
      </w:r>
      <w:r w:rsidR="003B4079">
        <w:rPr>
          <w:rFonts w:ascii="Verdana" w:hAnsi="Verdana"/>
          <w:color w:val="000000" w:themeColor="text1"/>
          <w:sz w:val="20"/>
          <w:szCs w:val="20"/>
        </w:rPr>
        <w:t>INCOFARMA</w:t>
      </w:r>
      <w:r w:rsidR="00666F90" w:rsidRPr="00A45056">
        <w:rPr>
          <w:rFonts w:ascii="Verdana" w:hAnsi="Verdana"/>
          <w:color w:val="000000" w:themeColor="text1"/>
          <w:sz w:val="20"/>
          <w:szCs w:val="20"/>
        </w:rPr>
        <w:t xml:space="preserve"> (2004-2005)</w:t>
      </w:r>
      <w:r w:rsidR="001A2E2B" w:rsidRPr="00A45056">
        <w:rPr>
          <w:rFonts w:ascii="Verdana" w:hAnsi="Verdana"/>
          <w:color w:val="000000" w:themeColor="text1"/>
          <w:sz w:val="20"/>
          <w:szCs w:val="20"/>
        </w:rPr>
        <w:t xml:space="preserve">, occorre </w:t>
      </w:r>
      <w:r w:rsidRPr="00A45056">
        <w:rPr>
          <w:rFonts w:ascii="Verdana" w:hAnsi="Verdana"/>
          <w:color w:val="000000" w:themeColor="text1"/>
          <w:sz w:val="20"/>
          <w:szCs w:val="20"/>
        </w:rPr>
        <w:t xml:space="preserve">preliminarmente </w:t>
      </w:r>
      <w:r w:rsidR="00666F90" w:rsidRPr="00A45056">
        <w:rPr>
          <w:rFonts w:ascii="Verdana" w:hAnsi="Verdana"/>
          <w:color w:val="000000" w:themeColor="text1"/>
          <w:sz w:val="20"/>
          <w:szCs w:val="20"/>
        </w:rPr>
        <w:t>qualificare il servizio di assistenza farmaceutica nel contesto dei servizi pubblici</w:t>
      </w:r>
      <w:r w:rsidRPr="00A45056">
        <w:rPr>
          <w:rFonts w:ascii="Verdana" w:hAnsi="Verdana"/>
          <w:color w:val="000000" w:themeColor="text1"/>
          <w:sz w:val="20"/>
          <w:szCs w:val="20"/>
        </w:rPr>
        <w:t xml:space="preserve">. </w:t>
      </w:r>
    </w:p>
    <w:p w:rsidR="00B44212" w:rsidRPr="00A45056" w:rsidRDefault="00B44212" w:rsidP="00B44212">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Per «servizio pubblico» si intende qualsiasi attività che si concretizzi nella produzione di beni o servizi in funzione di un’utilità</w:t>
      </w:r>
      <w:r w:rsidR="00C80763" w:rsidRPr="00A45056">
        <w:rPr>
          <w:rFonts w:ascii="Verdana" w:hAnsi="Verdana"/>
          <w:color w:val="000000" w:themeColor="text1"/>
          <w:sz w:val="20"/>
          <w:szCs w:val="20"/>
        </w:rPr>
        <w:t xml:space="preserve"> per una collettività</w:t>
      </w:r>
      <w:r w:rsidRPr="00A45056">
        <w:rPr>
          <w:rFonts w:ascii="Verdana" w:hAnsi="Verdana"/>
          <w:color w:val="000000" w:themeColor="text1"/>
          <w:sz w:val="20"/>
          <w:szCs w:val="20"/>
        </w:rPr>
        <w:t>, non solo in termini economici ma anche in termini di promozione sociale, purché risponda ad esigenze di utilità generale o ad essa destinata in quanto preordinata a soddisfare interessi collettivi (Cons</w:t>
      </w:r>
      <w:r w:rsidR="00410067" w:rsidRPr="00A45056">
        <w:rPr>
          <w:rFonts w:ascii="Verdana" w:hAnsi="Verdana"/>
          <w:color w:val="000000" w:themeColor="text1"/>
          <w:sz w:val="20"/>
          <w:szCs w:val="20"/>
        </w:rPr>
        <w:t>iglio</w:t>
      </w:r>
      <w:r w:rsidRPr="00A45056">
        <w:rPr>
          <w:rFonts w:ascii="Verdana" w:hAnsi="Verdana"/>
          <w:color w:val="000000" w:themeColor="text1"/>
          <w:sz w:val="20"/>
          <w:szCs w:val="20"/>
        </w:rPr>
        <w:t xml:space="preserve"> di Stato</w:t>
      </w:r>
      <w:r w:rsidR="00C80763" w:rsidRPr="00A45056">
        <w:rPr>
          <w:rFonts w:ascii="Verdana" w:hAnsi="Verdana"/>
          <w:color w:val="000000" w:themeColor="text1"/>
          <w:sz w:val="20"/>
          <w:szCs w:val="20"/>
        </w:rPr>
        <w:t>,</w:t>
      </w:r>
      <w:r w:rsidRPr="00A45056">
        <w:rPr>
          <w:rFonts w:ascii="Verdana" w:hAnsi="Verdana"/>
          <w:color w:val="000000" w:themeColor="text1"/>
          <w:sz w:val="20"/>
          <w:szCs w:val="20"/>
        </w:rPr>
        <w:t xml:space="preserve"> </w:t>
      </w:r>
      <w:r w:rsidR="00410067" w:rsidRPr="00A45056">
        <w:rPr>
          <w:rFonts w:ascii="Verdana" w:hAnsi="Verdana"/>
          <w:color w:val="000000" w:themeColor="text1"/>
          <w:sz w:val="20"/>
          <w:szCs w:val="20"/>
        </w:rPr>
        <w:t xml:space="preserve">sez. V, </w:t>
      </w:r>
      <w:r w:rsidR="00C80763" w:rsidRPr="00A45056">
        <w:rPr>
          <w:rFonts w:ascii="Verdana" w:hAnsi="Verdana"/>
          <w:color w:val="000000" w:themeColor="text1"/>
          <w:sz w:val="20"/>
          <w:szCs w:val="20"/>
        </w:rPr>
        <w:t xml:space="preserve">sentenza </w:t>
      </w:r>
      <w:r w:rsidR="00410067" w:rsidRPr="00A45056">
        <w:rPr>
          <w:rFonts w:ascii="Verdana" w:hAnsi="Verdana"/>
          <w:color w:val="000000" w:themeColor="text1"/>
          <w:sz w:val="20"/>
          <w:szCs w:val="20"/>
        </w:rPr>
        <w:t xml:space="preserve">9 maggio </w:t>
      </w:r>
      <w:r w:rsidRPr="00A45056">
        <w:rPr>
          <w:rFonts w:ascii="Verdana" w:hAnsi="Verdana"/>
          <w:color w:val="000000" w:themeColor="text1"/>
          <w:sz w:val="20"/>
          <w:szCs w:val="20"/>
        </w:rPr>
        <w:t>2001</w:t>
      </w:r>
      <w:r w:rsidR="00927F20" w:rsidRPr="00A45056">
        <w:rPr>
          <w:rFonts w:ascii="Verdana" w:hAnsi="Verdana"/>
          <w:color w:val="000000" w:themeColor="text1"/>
          <w:sz w:val="20"/>
          <w:szCs w:val="20"/>
        </w:rPr>
        <w:t>, n. 2605</w:t>
      </w:r>
      <w:r w:rsidRPr="00A45056">
        <w:rPr>
          <w:rFonts w:ascii="Verdana" w:hAnsi="Verdana"/>
          <w:color w:val="000000" w:themeColor="text1"/>
          <w:sz w:val="20"/>
          <w:szCs w:val="20"/>
        </w:rPr>
        <w:t>)</w:t>
      </w:r>
      <w:r w:rsidR="00173071" w:rsidRPr="00A45056">
        <w:rPr>
          <w:rFonts w:ascii="Verdana" w:hAnsi="Verdana"/>
          <w:color w:val="000000" w:themeColor="text1"/>
          <w:sz w:val="20"/>
          <w:szCs w:val="20"/>
        </w:rPr>
        <w:t>.</w:t>
      </w:r>
    </w:p>
    <w:p w:rsidR="00B44212" w:rsidRPr="00A45056" w:rsidRDefault="00C80763" w:rsidP="00B44212">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lastRenderedPageBreak/>
        <w:t>Per «servizio pubblico locale»</w:t>
      </w:r>
      <w:r w:rsidR="00B44212" w:rsidRPr="00A45056">
        <w:rPr>
          <w:rFonts w:ascii="Verdana" w:hAnsi="Verdana"/>
          <w:color w:val="000000" w:themeColor="text1"/>
          <w:sz w:val="20"/>
          <w:szCs w:val="20"/>
        </w:rPr>
        <w:t xml:space="preserve"> si intende qualsiasi attività che si concreta nella produzione di beni e servizi in funzione di un’utilità</w:t>
      </w:r>
      <w:r w:rsidR="00666F90" w:rsidRPr="00A45056">
        <w:rPr>
          <w:rFonts w:ascii="Verdana" w:hAnsi="Verdana"/>
          <w:color w:val="000000" w:themeColor="text1"/>
          <w:sz w:val="20"/>
          <w:szCs w:val="20"/>
        </w:rPr>
        <w:t>,</w:t>
      </w:r>
      <w:r w:rsidR="00B44212" w:rsidRPr="00A45056">
        <w:rPr>
          <w:rFonts w:ascii="Verdana" w:hAnsi="Verdana"/>
          <w:color w:val="000000" w:themeColor="text1"/>
          <w:sz w:val="20"/>
          <w:szCs w:val="20"/>
        </w:rPr>
        <w:t xml:space="preserve"> </w:t>
      </w:r>
      <w:r w:rsidRPr="00A45056">
        <w:rPr>
          <w:rFonts w:ascii="Verdana" w:hAnsi="Verdana"/>
          <w:color w:val="000000" w:themeColor="text1"/>
          <w:sz w:val="20"/>
          <w:szCs w:val="20"/>
        </w:rPr>
        <w:t>nei termini appena espressi</w:t>
      </w:r>
      <w:r w:rsidR="00666F90" w:rsidRPr="00A45056">
        <w:rPr>
          <w:rFonts w:ascii="Verdana" w:hAnsi="Verdana"/>
          <w:color w:val="000000" w:themeColor="text1"/>
          <w:sz w:val="20"/>
          <w:szCs w:val="20"/>
        </w:rPr>
        <w:t>,</w:t>
      </w:r>
      <w:r w:rsidR="00B3787A">
        <w:rPr>
          <w:rFonts w:ascii="Verdana" w:hAnsi="Verdana"/>
          <w:color w:val="000000" w:themeColor="text1"/>
          <w:sz w:val="20"/>
          <w:szCs w:val="20"/>
        </w:rPr>
        <w:t xml:space="preserve"> </w:t>
      </w:r>
      <w:r w:rsidR="00B44212" w:rsidRPr="00A45056">
        <w:rPr>
          <w:rFonts w:ascii="Verdana" w:hAnsi="Verdana"/>
          <w:color w:val="000000" w:themeColor="text1"/>
          <w:sz w:val="20"/>
          <w:szCs w:val="20"/>
        </w:rPr>
        <w:t>per la Comunità locale (Cons</w:t>
      </w:r>
      <w:r w:rsidR="00410067" w:rsidRPr="00A45056">
        <w:rPr>
          <w:rFonts w:ascii="Verdana" w:hAnsi="Verdana"/>
          <w:color w:val="000000" w:themeColor="text1"/>
          <w:sz w:val="20"/>
          <w:szCs w:val="20"/>
        </w:rPr>
        <w:t>iglio</w:t>
      </w:r>
      <w:r w:rsidR="00B44212" w:rsidRPr="00A45056">
        <w:rPr>
          <w:rFonts w:ascii="Verdana" w:hAnsi="Verdana"/>
          <w:color w:val="000000" w:themeColor="text1"/>
          <w:sz w:val="20"/>
          <w:szCs w:val="20"/>
        </w:rPr>
        <w:t xml:space="preserve"> di Stato</w:t>
      </w:r>
      <w:r w:rsidR="00410067" w:rsidRPr="00A45056">
        <w:rPr>
          <w:rFonts w:ascii="Verdana" w:hAnsi="Verdana"/>
          <w:color w:val="000000" w:themeColor="text1"/>
          <w:sz w:val="20"/>
          <w:szCs w:val="20"/>
        </w:rPr>
        <w:t>, sez. V,</w:t>
      </w:r>
      <w:r w:rsidR="00B44212"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sentenza </w:t>
      </w:r>
      <w:r w:rsidR="00410067" w:rsidRPr="00A45056">
        <w:rPr>
          <w:rFonts w:ascii="Verdana" w:hAnsi="Verdana"/>
          <w:color w:val="000000" w:themeColor="text1"/>
          <w:sz w:val="20"/>
          <w:szCs w:val="20"/>
        </w:rPr>
        <w:t xml:space="preserve">17 aprile </w:t>
      </w:r>
      <w:r w:rsidR="00B44212" w:rsidRPr="00A45056">
        <w:rPr>
          <w:rFonts w:ascii="Verdana" w:hAnsi="Verdana"/>
          <w:color w:val="000000" w:themeColor="text1"/>
          <w:sz w:val="20"/>
          <w:szCs w:val="20"/>
        </w:rPr>
        <w:t>2003</w:t>
      </w:r>
      <w:r w:rsidR="00927F20" w:rsidRPr="00A45056">
        <w:rPr>
          <w:rFonts w:ascii="Verdana" w:hAnsi="Verdana"/>
          <w:color w:val="000000" w:themeColor="text1"/>
          <w:sz w:val="20"/>
          <w:szCs w:val="20"/>
        </w:rPr>
        <w:t>, n. 2024</w:t>
      </w:r>
      <w:r w:rsidR="00B44212" w:rsidRPr="00A45056">
        <w:rPr>
          <w:rFonts w:ascii="Verdana" w:hAnsi="Verdana"/>
          <w:color w:val="000000" w:themeColor="text1"/>
          <w:sz w:val="20"/>
          <w:szCs w:val="20"/>
        </w:rPr>
        <w:t>)</w:t>
      </w:r>
      <w:r w:rsidRPr="00A45056">
        <w:rPr>
          <w:rFonts w:ascii="Verdana" w:hAnsi="Verdana"/>
          <w:color w:val="000000" w:themeColor="text1"/>
          <w:sz w:val="20"/>
          <w:szCs w:val="20"/>
        </w:rPr>
        <w:t>.</w:t>
      </w:r>
    </w:p>
    <w:p w:rsidR="00C80763" w:rsidRPr="00A45056" w:rsidRDefault="00C80763" w:rsidP="00B44212">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All’interno di questa categoria il legislatore ha delineato la distinzione </w:t>
      </w:r>
      <w:r w:rsidR="00E87201" w:rsidRPr="00A45056">
        <w:rPr>
          <w:rFonts w:ascii="Verdana" w:hAnsi="Verdana"/>
          <w:color w:val="000000" w:themeColor="text1"/>
          <w:sz w:val="20"/>
          <w:szCs w:val="20"/>
        </w:rPr>
        <w:t>tra servizi pubblici loca</w:t>
      </w:r>
      <w:r w:rsidR="00666F90" w:rsidRPr="00A45056">
        <w:rPr>
          <w:rFonts w:ascii="Verdana" w:hAnsi="Verdana"/>
          <w:color w:val="000000" w:themeColor="text1"/>
          <w:sz w:val="20"/>
          <w:szCs w:val="20"/>
        </w:rPr>
        <w:t>li</w:t>
      </w:r>
      <w:r w:rsidR="00E87201" w:rsidRPr="00A45056">
        <w:rPr>
          <w:rFonts w:ascii="Verdana" w:hAnsi="Verdana"/>
          <w:color w:val="000000" w:themeColor="text1"/>
          <w:sz w:val="20"/>
          <w:szCs w:val="20"/>
        </w:rPr>
        <w:t xml:space="preserve"> a rilevanza economia e quelli pr</w:t>
      </w:r>
      <w:r w:rsidR="00C26808" w:rsidRPr="00A45056">
        <w:rPr>
          <w:rFonts w:ascii="Verdana" w:hAnsi="Verdana"/>
          <w:color w:val="000000" w:themeColor="text1"/>
          <w:sz w:val="20"/>
          <w:szCs w:val="20"/>
        </w:rPr>
        <w:t>i</w:t>
      </w:r>
      <w:r w:rsidR="00E87201" w:rsidRPr="00A45056">
        <w:rPr>
          <w:rFonts w:ascii="Verdana" w:hAnsi="Verdana"/>
          <w:color w:val="000000" w:themeColor="text1"/>
          <w:sz w:val="20"/>
          <w:szCs w:val="20"/>
        </w:rPr>
        <w:t>vi di tale rilevanza (cfr. artt. 113 e 113-bis TUEL, nonché l’</w:t>
      </w:r>
      <w:r w:rsidR="00E44DFF" w:rsidRPr="00A45056">
        <w:rPr>
          <w:rFonts w:ascii="Verdana" w:hAnsi="Verdana"/>
          <w:color w:val="000000" w:themeColor="text1"/>
          <w:sz w:val="20"/>
          <w:szCs w:val="20"/>
        </w:rPr>
        <w:t>art. 116 TUEL</w:t>
      </w:r>
      <w:r w:rsidR="0007543C" w:rsidRPr="00A45056">
        <w:rPr>
          <w:rFonts w:ascii="Verdana" w:hAnsi="Verdana"/>
          <w:color w:val="000000" w:themeColor="text1"/>
          <w:sz w:val="20"/>
          <w:szCs w:val="20"/>
        </w:rPr>
        <w:t>, oggi abrogato espressamente dall’art. 28 del D.lgs. n. 175/2016</w:t>
      </w:r>
      <w:r w:rsidR="00E44DFF" w:rsidRPr="00A45056">
        <w:rPr>
          <w:rFonts w:ascii="Verdana" w:hAnsi="Verdana"/>
          <w:color w:val="000000" w:themeColor="text1"/>
          <w:sz w:val="20"/>
          <w:szCs w:val="20"/>
        </w:rPr>
        <w:t>)</w:t>
      </w:r>
      <w:r w:rsidR="00E87201" w:rsidRPr="00A45056">
        <w:rPr>
          <w:rFonts w:ascii="Verdana" w:hAnsi="Verdana"/>
          <w:color w:val="000000" w:themeColor="text1"/>
          <w:sz w:val="20"/>
          <w:szCs w:val="20"/>
        </w:rPr>
        <w:t>.</w:t>
      </w:r>
    </w:p>
    <w:p w:rsidR="00875060" w:rsidRPr="00A45056" w:rsidRDefault="00666F90" w:rsidP="00875060">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Segnatamente, l</w:t>
      </w:r>
      <w:r w:rsidR="00875060" w:rsidRPr="00A45056">
        <w:rPr>
          <w:rFonts w:ascii="Verdana" w:hAnsi="Verdana"/>
          <w:color w:val="000000" w:themeColor="text1"/>
          <w:sz w:val="20"/>
          <w:szCs w:val="20"/>
        </w:rPr>
        <w:t>a distinzione è stata introdotta con l’art. 35 della Legge n.</w:t>
      </w:r>
      <w:r w:rsidR="00410067" w:rsidRPr="00A45056">
        <w:rPr>
          <w:rFonts w:ascii="Verdana" w:hAnsi="Verdana"/>
          <w:color w:val="000000" w:themeColor="text1"/>
          <w:sz w:val="20"/>
          <w:szCs w:val="20"/>
        </w:rPr>
        <w:t xml:space="preserve"> </w:t>
      </w:r>
      <w:r w:rsidR="00875060" w:rsidRPr="00A45056">
        <w:rPr>
          <w:rFonts w:ascii="Verdana" w:hAnsi="Verdana"/>
          <w:color w:val="000000" w:themeColor="text1"/>
          <w:sz w:val="20"/>
          <w:szCs w:val="20"/>
        </w:rPr>
        <w:t>448/2001 che ha introdotto l’art. 113</w:t>
      </w:r>
      <w:r w:rsidR="00875060" w:rsidRPr="00A45056">
        <w:rPr>
          <w:rFonts w:ascii="Verdana" w:hAnsi="Verdana"/>
          <w:i/>
          <w:color w:val="000000" w:themeColor="text1"/>
          <w:sz w:val="20"/>
          <w:szCs w:val="20"/>
        </w:rPr>
        <w:t>-</w:t>
      </w:r>
      <w:r w:rsidR="00875060" w:rsidRPr="00A45056">
        <w:rPr>
          <w:rFonts w:ascii="Verdana" w:hAnsi="Verdana"/>
          <w:i/>
          <w:iCs/>
          <w:color w:val="000000" w:themeColor="text1"/>
          <w:sz w:val="20"/>
          <w:szCs w:val="20"/>
        </w:rPr>
        <w:t>bis</w:t>
      </w:r>
      <w:r w:rsidR="00875060" w:rsidRPr="00A45056">
        <w:rPr>
          <w:rFonts w:ascii="Verdana" w:hAnsi="Verdana"/>
          <w:color w:val="000000" w:themeColor="text1"/>
          <w:sz w:val="20"/>
          <w:szCs w:val="20"/>
        </w:rPr>
        <w:t xml:space="preserve"> TUEL; ancora con il D.L. n.</w:t>
      </w:r>
      <w:r w:rsidR="00A74A90" w:rsidRPr="00A45056">
        <w:rPr>
          <w:rFonts w:ascii="Verdana" w:hAnsi="Verdana"/>
          <w:color w:val="000000" w:themeColor="text1"/>
          <w:sz w:val="20"/>
          <w:szCs w:val="20"/>
        </w:rPr>
        <w:t xml:space="preserve"> </w:t>
      </w:r>
      <w:r w:rsidR="00875060" w:rsidRPr="00A45056">
        <w:rPr>
          <w:rFonts w:ascii="Verdana" w:hAnsi="Verdana"/>
          <w:color w:val="000000" w:themeColor="text1"/>
          <w:sz w:val="20"/>
          <w:szCs w:val="20"/>
        </w:rPr>
        <w:t>269/2003 convertito nella Legge n.326/2003 il Legislatore, con norma peraltro censurata parzialmente dalla Corte Costituzionale con sentenza n.272/2004, ha eliminato la distinzione tra servizi pubblici locali a rilevanza industriale e non, sostituendola con quella fra servizi pubblici locali “</w:t>
      </w:r>
      <w:r w:rsidR="00875060" w:rsidRPr="00A45056">
        <w:rPr>
          <w:rFonts w:ascii="Verdana" w:hAnsi="Verdana"/>
          <w:i/>
          <w:iCs/>
          <w:color w:val="000000" w:themeColor="text1"/>
          <w:sz w:val="20"/>
          <w:szCs w:val="20"/>
        </w:rPr>
        <w:t>con rilevanza economica</w:t>
      </w:r>
      <w:r w:rsidR="00875060" w:rsidRPr="00A45056">
        <w:rPr>
          <w:rFonts w:ascii="Verdana" w:hAnsi="Verdana"/>
          <w:color w:val="000000" w:themeColor="text1"/>
          <w:sz w:val="20"/>
          <w:szCs w:val="20"/>
        </w:rPr>
        <w:t>” e servizi pubblici locali “</w:t>
      </w:r>
      <w:r w:rsidR="00875060" w:rsidRPr="00A45056">
        <w:rPr>
          <w:rFonts w:ascii="Verdana" w:hAnsi="Verdana"/>
          <w:i/>
          <w:iCs/>
          <w:color w:val="000000" w:themeColor="text1"/>
          <w:sz w:val="20"/>
          <w:szCs w:val="20"/>
        </w:rPr>
        <w:t>privi di rilevanza economica</w:t>
      </w:r>
      <w:r w:rsidR="00875060" w:rsidRPr="00A45056">
        <w:rPr>
          <w:rFonts w:ascii="Verdana" w:hAnsi="Verdana"/>
          <w:color w:val="000000" w:themeColor="text1"/>
          <w:sz w:val="20"/>
          <w:szCs w:val="20"/>
        </w:rPr>
        <w:t>”, precisando, che la disciplina delle  modalità di gestione ed affidamento dei servizi pubblici locali concernono la tutela della concorrenza e sono inderogabili ed integrative della disciplina di settore.</w:t>
      </w:r>
    </w:p>
    <w:p w:rsidR="00E87201" w:rsidRPr="00A45056" w:rsidRDefault="00875060" w:rsidP="00E87201">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La giurisprudenza amministrativa ha precisato</w:t>
      </w:r>
      <w:r w:rsidR="00E87201" w:rsidRPr="00A45056">
        <w:rPr>
          <w:rFonts w:ascii="Verdana" w:hAnsi="Verdana"/>
          <w:color w:val="000000" w:themeColor="text1"/>
          <w:sz w:val="20"/>
          <w:szCs w:val="20"/>
        </w:rPr>
        <w:t xml:space="preserve"> che deve ritenersi di rilevanza economica il servizio che si innesta in un settore per il quale esiste, quantomeno in potenza, una redditività, e quindi una competizione sul mercato e ciò ancorché siano previste forme di finanziamento pubblico, più o meno ampie, dell’attività in questione (Consiglio di Stato, sezione V, 27 agosto 2009, n. 5097).</w:t>
      </w:r>
    </w:p>
    <w:p w:rsidR="00E87201" w:rsidRPr="00A45056" w:rsidRDefault="00E87201" w:rsidP="00E87201">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Per converso</w:t>
      </w:r>
      <w:r w:rsidR="00F53881">
        <w:rPr>
          <w:rFonts w:ascii="Verdana" w:hAnsi="Verdana"/>
          <w:color w:val="000000" w:themeColor="text1"/>
          <w:sz w:val="20"/>
          <w:szCs w:val="20"/>
        </w:rPr>
        <w:t>,</w:t>
      </w:r>
      <w:r w:rsidRPr="00A45056">
        <w:rPr>
          <w:rFonts w:ascii="Verdana" w:hAnsi="Verdana"/>
          <w:color w:val="000000" w:themeColor="text1"/>
          <w:sz w:val="20"/>
          <w:szCs w:val="20"/>
        </w:rPr>
        <w:t xml:space="preserve"> devono considerarsi privi di rilevanza </w:t>
      </w:r>
      <w:r w:rsidR="001D743E">
        <w:rPr>
          <w:rFonts w:ascii="Verdana" w:hAnsi="Verdana"/>
          <w:color w:val="000000" w:themeColor="text1"/>
          <w:sz w:val="20"/>
          <w:szCs w:val="20"/>
        </w:rPr>
        <w:t xml:space="preserve">economica </w:t>
      </w:r>
      <w:r w:rsidRPr="00A45056">
        <w:rPr>
          <w:rFonts w:ascii="Verdana" w:hAnsi="Verdana"/>
          <w:color w:val="000000" w:themeColor="text1"/>
          <w:sz w:val="20"/>
          <w:szCs w:val="20"/>
        </w:rPr>
        <w:t xml:space="preserve">quei servizi che, per loro natura o per i vincoli ai quali è sottoposta la relativa gestione, non </w:t>
      </w:r>
      <w:r w:rsidR="001D743E" w:rsidRPr="00A45056">
        <w:rPr>
          <w:rFonts w:ascii="Verdana" w:hAnsi="Verdana"/>
          <w:color w:val="000000" w:themeColor="text1"/>
          <w:sz w:val="20"/>
          <w:szCs w:val="20"/>
        </w:rPr>
        <w:t>d</w:t>
      </w:r>
      <w:r w:rsidR="001D743E">
        <w:rPr>
          <w:rFonts w:ascii="Verdana" w:hAnsi="Verdana"/>
          <w:color w:val="000000" w:themeColor="text1"/>
          <w:sz w:val="20"/>
          <w:szCs w:val="20"/>
        </w:rPr>
        <w:t>anno</w:t>
      </w:r>
      <w:r w:rsidR="001D743E" w:rsidRPr="00A45056">
        <w:rPr>
          <w:rFonts w:ascii="Verdana" w:hAnsi="Verdana"/>
          <w:color w:val="000000" w:themeColor="text1"/>
          <w:sz w:val="20"/>
          <w:szCs w:val="20"/>
        </w:rPr>
        <w:t xml:space="preserve"> </w:t>
      </w:r>
      <w:r w:rsidRPr="00A45056">
        <w:rPr>
          <w:rFonts w:ascii="Verdana" w:hAnsi="Verdana"/>
          <w:color w:val="000000" w:themeColor="text1"/>
          <w:sz w:val="20"/>
          <w:szCs w:val="20"/>
        </w:rPr>
        <w:t>luogo ad alcuna competizione</w:t>
      </w:r>
      <w:r w:rsidR="001D743E">
        <w:rPr>
          <w:rFonts w:ascii="Verdana" w:hAnsi="Verdana"/>
          <w:color w:val="000000" w:themeColor="text1"/>
          <w:sz w:val="20"/>
          <w:szCs w:val="20"/>
        </w:rPr>
        <w:t>, così</w:t>
      </w:r>
      <w:r w:rsidRPr="00A45056">
        <w:rPr>
          <w:rFonts w:ascii="Verdana" w:hAnsi="Verdana"/>
          <w:color w:val="000000" w:themeColor="text1"/>
          <w:sz w:val="20"/>
          <w:szCs w:val="20"/>
        </w:rPr>
        <w:t xml:space="preserve"> </w:t>
      </w:r>
      <w:r w:rsidR="001D743E">
        <w:rPr>
          <w:rFonts w:ascii="Verdana" w:hAnsi="Verdana"/>
          <w:color w:val="000000" w:themeColor="text1"/>
          <w:sz w:val="20"/>
          <w:szCs w:val="20"/>
        </w:rPr>
        <w:t>risultando</w:t>
      </w:r>
      <w:r w:rsidRPr="00A45056">
        <w:rPr>
          <w:rFonts w:ascii="Verdana" w:hAnsi="Verdana"/>
          <w:color w:val="000000" w:themeColor="text1"/>
          <w:sz w:val="20"/>
          <w:szCs w:val="20"/>
        </w:rPr>
        <w:t xml:space="preserve"> </w:t>
      </w:r>
      <w:r w:rsidR="001D743E" w:rsidRPr="00A45056">
        <w:rPr>
          <w:rFonts w:ascii="Verdana" w:hAnsi="Verdana"/>
          <w:color w:val="000000" w:themeColor="text1"/>
          <w:sz w:val="20"/>
          <w:szCs w:val="20"/>
        </w:rPr>
        <w:t>irrilevant</w:t>
      </w:r>
      <w:r w:rsidR="001D743E">
        <w:rPr>
          <w:rFonts w:ascii="Verdana" w:hAnsi="Verdana"/>
          <w:color w:val="000000" w:themeColor="text1"/>
          <w:sz w:val="20"/>
          <w:szCs w:val="20"/>
        </w:rPr>
        <w:t>i</w:t>
      </w:r>
      <w:r w:rsidR="001D743E" w:rsidRPr="00A45056">
        <w:rPr>
          <w:rFonts w:ascii="Verdana" w:hAnsi="Verdana"/>
          <w:color w:val="000000" w:themeColor="text1"/>
          <w:sz w:val="20"/>
          <w:szCs w:val="20"/>
        </w:rPr>
        <w:t xml:space="preserve"> </w:t>
      </w:r>
      <w:r w:rsidRPr="00A45056">
        <w:rPr>
          <w:rFonts w:ascii="Verdana" w:hAnsi="Verdana"/>
          <w:color w:val="000000" w:themeColor="text1"/>
          <w:sz w:val="20"/>
          <w:szCs w:val="20"/>
        </w:rPr>
        <w:t>ai fini della concorrenza (</w:t>
      </w:r>
      <w:r w:rsidR="005B0743" w:rsidRPr="00A45056">
        <w:rPr>
          <w:rFonts w:ascii="Verdana" w:hAnsi="Verdana"/>
          <w:color w:val="000000" w:themeColor="text1"/>
          <w:sz w:val="20"/>
          <w:szCs w:val="20"/>
        </w:rPr>
        <w:t xml:space="preserve">Tar Sardegna, </w:t>
      </w:r>
      <w:r w:rsidRPr="00A45056">
        <w:rPr>
          <w:rFonts w:ascii="Verdana" w:hAnsi="Verdana"/>
          <w:color w:val="000000" w:themeColor="text1"/>
          <w:sz w:val="20"/>
          <w:szCs w:val="20"/>
        </w:rPr>
        <w:t xml:space="preserve">sentenza n. 1729 del 2 agosto 2005). Saranno, quindi, privi di rilevanza economica i servizi che sono resi agli utenti in chiave meramente </w:t>
      </w:r>
      <w:proofErr w:type="spellStart"/>
      <w:r w:rsidRPr="00A45056">
        <w:rPr>
          <w:rFonts w:ascii="Verdana" w:hAnsi="Verdana"/>
          <w:color w:val="000000" w:themeColor="text1"/>
          <w:sz w:val="20"/>
          <w:szCs w:val="20"/>
        </w:rPr>
        <w:t>erogativa</w:t>
      </w:r>
      <w:proofErr w:type="spellEnd"/>
      <w:r w:rsidRPr="00A45056">
        <w:rPr>
          <w:rFonts w:ascii="Verdana" w:hAnsi="Verdana"/>
          <w:color w:val="000000" w:themeColor="text1"/>
          <w:sz w:val="20"/>
          <w:szCs w:val="20"/>
        </w:rPr>
        <w:t xml:space="preserve"> e che, inoltre, non richiedono una organizzazione di impresa in senso obiettivo (invero, la dicotomia tra servizi a rilevanza economica e quelli privi di rilevanza economica può anche essere desunta dalle norme privatistiche, coincidendo sostanzialmente con i criteri che contraddistinguono l'attività di impresa nella previsione dell'art. 2082 Cod. civ. </w:t>
      </w:r>
      <w:proofErr w:type="gramStart"/>
      <w:r w:rsidRPr="00A45056">
        <w:rPr>
          <w:rFonts w:ascii="Verdana" w:hAnsi="Verdana"/>
          <w:color w:val="000000" w:themeColor="text1"/>
          <w:sz w:val="20"/>
          <w:szCs w:val="20"/>
        </w:rPr>
        <w:t>e</w:t>
      </w:r>
      <w:proofErr w:type="gramEnd"/>
      <w:r w:rsidRPr="00A45056">
        <w:rPr>
          <w:rFonts w:ascii="Verdana" w:hAnsi="Verdana"/>
          <w:color w:val="000000" w:themeColor="text1"/>
          <w:sz w:val="20"/>
          <w:szCs w:val="20"/>
        </w:rPr>
        <w:t>, per quanto di ragione, dell'art. 2195 o, per differenza, con ciò che non vi può essere ricompreso). Per gli altri servizi, astrattamente di rilevanza economica, andrà valutato in concreto se le modalità di erogazione, ne consentano l'assimilazione a servizi pubbli</w:t>
      </w:r>
      <w:r w:rsidR="005B0743" w:rsidRPr="00A45056">
        <w:rPr>
          <w:rFonts w:ascii="Verdana" w:hAnsi="Verdana"/>
          <w:color w:val="000000" w:themeColor="text1"/>
          <w:sz w:val="20"/>
          <w:szCs w:val="20"/>
        </w:rPr>
        <w:t>ci privi di rilevanza economica (cfr.</w:t>
      </w:r>
      <w:r w:rsidRPr="00A45056">
        <w:rPr>
          <w:rFonts w:ascii="Verdana" w:hAnsi="Verdana"/>
          <w:color w:val="000000" w:themeColor="text1"/>
          <w:sz w:val="20"/>
          <w:szCs w:val="20"/>
        </w:rPr>
        <w:t xml:space="preserve">  Consiglio di Stato, Sez. V, </w:t>
      </w:r>
      <w:r w:rsidR="005B0743" w:rsidRPr="00A45056">
        <w:rPr>
          <w:rFonts w:ascii="Verdana" w:hAnsi="Verdana"/>
          <w:color w:val="000000" w:themeColor="text1"/>
          <w:sz w:val="20"/>
          <w:szCs w:val="20"/>
        </w:rPr>
        <w:t xml:space="preserve">sentenza 23 ottobre </w:t>
      </w:r>
      <w:r w:rsidRPr="00A45056">
        <w:rPr>
          <w:rFonts w:ascii="Verdana" w:hAnsi="Verdana"/>
          <w:color w:val="000000" w:themeColor="text1"/>
          <w:sz w:val="20"/>
          <w:szCs w:val="20"/>
        </w:rPr>
        <w:t>2012 n. 5409</w:t>
      </w:r>
      <w:r w:rsidR="005B0743" w:rsidRPr="00A45056">
        <w:rPr>
          <w:rFonts w:ascii="Verdana" w:hAnsi="Verdana"/>
          <w:color w:val="000000" w:themeColor="text1"/>
          <w:sz w:val="20"/>
          <w:szCs w:val="20"/>
        </w:rPr>
        <w:t>)</w:t>
      </w:r>
      <w:r w:rsidR="001D743E">
        <w:rPr>
          <w:rFonts w:ascii="Verdana" w:hAnsi="Verdana"/>
          <w:color w:val="000000" w:themeColor="text1"/>
          <w:sz w:val="20"/>
          <w:szCs w:val="20"/>
        </w:rPr>
        <w:t>.</w:t>
      </w:r>
    </w:p>
    <w:p w:rsidR="001875A2" w:rsidRPr="00A45056" w:rsidRDefault="002C16F8" w:rsidP="00923666">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b/>
          <w:color w:val="000000" w:themeColor="text1"/>
          <w:sz w:val="20"/>
          <w:szCs w:val="20"/>
        </w:rPr>
        <w:t>2.1.</w:t>
      </w:r>
      <w:r w:rsidRPr="00A45056">
        <w:rPr>
          <w:rFonts w:ascii="Verdana" w:hAnsi="Verdana"/>
          <w:color w:val="000000" w:themeColor="text1"/>
          <w:sz w:val="20"/>
          <w:szCs w:val="20"/>
        </w:rPr>
        <w:t xml:space="preserve"> </w:t>
      </w:r>
      <w:r w:rsidR="00550EE1" w:rsidRPr="00A45056">
        <w:rPr>
          <w:rFonts w:ascii="Verdana" w:hAnsi="Verdana"/>
          <w:color w:val="000000" w:themeColor="text1"/>
          <w:sz w:val="20"/>
          <w:szCs w:val="20"/>
        </w:rPr>
        <w:t xml:space="preserve">In questo quadro, è costante oramai l’inquadramento del servizio di assistenza farmaceutica tra i servizi </w:t>
      </w:r>
      <w:r w:rsidR="009266D2" w:rsidRPr="00A45056">
        <w:rPr>
          <w:rFonts w:ascii="Verdana" w:hAnsi="Verdana"/>
          <w:color w:val="000000" w:themeColor="text1"/>
          <w:sz w:val="20"/>
          <w:szCs w:val="20"/>
        </w:rPr>
        <w:t>pubblici</w:t>
      </w:r>
      <w:r w:rsidR="00D7669A" w:rsidRPr="00A45056">
        <w:rPr>
          <w:rFonts w:ascii="Verdana" w:hAnsi="Verdana"/>
          <w:color w:val="000000" w:themeColor="text1"/>
          <w:sz w:val="20"/>
          <w:szCs w:val="20"/>
        </w:rPr>
        <w:t xml:space="preserve"> locali a rilevanza economica</w:t>
      </w:r>
      <w:r w:rsidR="00550EE1"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sia pure con peculiarità tali che ne giustificano una disciplina </w:t>
      </w:r>
      <w:r w:rsidRPr="00A45056">
        <w:rPr>
          <w:rFonts w:ascii="Verdana" w:hAnsi="Verdana"/>
          <w:i/>
          <w:color w:val="000000" w:themeColor="text1"/>
          <w:sz w:val="20"/>
          <w:szCs w:val="20"/>
        </w:rPr>
        <w:t>ad hoc</w:t>
      </w:r>
      <w:r w:rsidRPr="00A45056">
        <w:rPr>
          <w:rFonts w:ascii="Verdana" w:hAnsi="Verdana"/>
          <w:color w:val="000000" w:themeColor="text1"/>
          <w:sz w:val="20"/>
          <w:szCs w:val="20"/>
        </w:rPr>
        <w:t xml:space="preserve">. </w:t>
      </w:r>
    </w:p>
    <w:p w:rsidR="009B4812" w:rsidRPr="00A45056" w:rsidRDefault="00D7669A" w:rsidP="009B481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w:t>
      </w:r>
      <w:r w:rsidR="009B4812" w:rsidRPr="00A45056">
        <w:rPr>
          <w:rFonts w:ascii="Verdana" w:hAnsi="Verdana"/>
          <w:color w:val="000000" w:themeColor="text1"/>
          <w:sz w:val="20"/>
          <w:szCs w:val="20"/>
        </w:rPr>
        <w:t>’esercizio di farmacie e la loro distribuzione sul territorio in rapporto alla popolazione costituisce, infatti, una modalità per assicurare un diritto costituzionalmente garantito qual è quello alla sal</w:t>
      </w:r>
      <w:r w:rsidR="007D2346" w:rsidRPr="00A45056">
        <w:rPr>
          <w:rFonts w:ascii="Verdana" w:hAnsi="Verdana"/>
          <w:color w:val="000000" w:themeColor="text1"/>
          <w:sz w:val="20"/>
          <w:szCs w:val="20"/>
        </w:rPr>
        <w:t xml:space="preserve">ute. </w:t>
      </w:r>
      <w:r w:rsidR="009B4812" w:rsidRPr="00A45056">
        <w:rPr>
          <w:rFonts w:ascii="Verdana" w:hAnsi="Verdana"/>
          <w:color w:val="000000" w:themeColor="text1"/>
          <w:sz w:val="20"/>
          <w:szCs w:val="20"/>
        </w:rPr>
        <w:t xml:space="preserve">La stessa Corte Costituzionale ha riconosciuto che l’intera regolamentazione dell’attività farmaceutica è “preordinata al fine di assicurare e controllare l'accesso dei cittadini ai prodotti medicinali ed in tal senso a garantire la tutela del fondamentale diritto alla salute”, al </w:t>
      </w:r>
      <w:r w:rsidR="009B4812" w:rsidRPr="00A45056">
        <w:rPr>
          <w:rFonts w:ascii="Verdana" w:hAnsi="Verdana"/>
          <w:color w:val="000000" w:themeColor="text1"/>
          <w:sz w:val="20"/>
          <w:szCs w:val="20"/>
        </w:rPr>
        <w:lastRenderedPageBreak/>
        <w:t xml:space="preserve">punto che resta “solo marginale, sotto questo profilo, sia il carattere professionale sia l’indubbia natura commerciale dell’attività del farmacista” (Corte </w:t>
      </w:r>
      <w:proofErr w:type="spellStart"/>
      <w:r w:rsidR="009B4812" w:rsidRPr="00A45056">
        <w:rPr>
          <w:rFonts w:ascii="Verdana" w:hAnsi="Verdana"/>
          <w:color w:val="000000" w:themeColor="text1"/>
          <w:sz w:val="20"/>
          <w:szCs w:val="20"/>
        </w:rPr>
        <w:t>cost</w:t>
      </w:r>
      <w:proofErr w:type="spellEnd"/>
      <w:r w:rsidR="009B4812" w:rsidRPr="00A45056">
        <w:rPr>
          <w:rFonts w:ascii="Verdana" w:hAnsi="Verdana"/>
          <w:color w:val="000000" w:themeColor="text1"/>
          <w:sz w:val="20"/>
          <w:szCs w:val="20"/>
        </w:rPr>
        <w:t xml:space="preserve">. </w:t>
      </w:r>
      <w:proofErr w:type="spellStart"/>
      <w:proofErr w:type="gramStart"/>
      <w:r w:rsidR="009B4812" w:rsidRPr="00A45056">
        <w:rPr>
          <w:rFonts w:ascii="Verdana" w:hAnsi="Verdana"/>
          <w:color w:val="000000" w:themeColor="text1"/>
          <w:sz w:val="20"/>
          <w:szCs w:val="20"/>
        </w:rPr>
        <w:t>sent</w:t>
      </w:r>
      <w:proofErr w:type="spellEnd"/>
      <w:proofErr w:type="gramEnd"/>
      <w:r w:rsidR="009B4812" w:rsidRPr="00A45056">
        <w:rPr>
          <w:rFonts w:ascii="Verdana" w:hAnsi="Verdana"/>
          <w:color w:val="000000" w:themeColor="text1"/>
          <w:sz w:val="20"/>
          <w:szCs w:val="20"/>
        </w:rPr>
        <w:t xml:space="preserve">. n. 87/2006).  Proprio la natura di servizio pubblico essenziale e la sua </w:t>
      </w:r>
      <w:r w:rsidR="007D2346" w:rsidRPr="00A45056">
        <w:rPr>
          <w:rFonts w:ascii="Verdana" w:hAnsi="Verdana"/>
          <w:color w:val="000000" w:themeColor="text1"/>
          <w:sz w:val="20"/>
          <w:szCs w:val="20"/>
        </w:rPr>
        <w:t>concomitante</w:t>
      </w:r>
      <w:r w:rsidR="009B4812" w:rsidRPr="00A45056">
        <w:rPr>
          <w:rFonts w:ascii="Verdana" w:hAnsi="Verdana"/>
          <w:color w:val="000000" w:themeColor="text1"/>
          <w:sz w:val="20"/>
          <w:szCs w:val="20"/>
        </w:rPr>
        <w:t xml:space="preserve"> finalità</w:t>
      </w:r>
      <w:r w:rsidR="009266D2" w:rsidRPr="00A45056">
        <w:rPr>
          <w:rFonts w:ascii="Verdana" w:hAnsi="Verdana"/>
          <w:color w:val="000000" w:themeColor="text1"/>
          <w:sz w:val="20"/>
          <w:szCs w:val="20"/>
        </w:rPr>
        <w:t xml:space="preserve"> sociale giustificano –</w:t>
      </w:r>
      <w:r w:rsidR="009B4812" w:rsidRPr="00A45056">
        <w:rPr>
          <w:rFonts w:ascii="Verdana" w:hAnsi="Verdana"/>
          <w:color w:val="000000" w:themeColor="text1"/>
          <w:sz w:val="20"/>
          <w:szCs w:val="20"/>
        </w:rPr>
        <w:t xml:space="preserve"> anche alla luce del diritto comunitario (cfr. per tutti Corte di Giustizia n. 570 del 2010 in materia di compatibilità della disciplina sulle distanze minime fra le sedi farmaceutiche con il diritto comunitario) </w:t>
      </w:r>
      <w:r w:rsidR="009266D2" w:rsidRPr="00A45056">
        <w:rPr>
          <w:rFonts w:ascii="Verdana" w:hAnsi="Verdana"/>
          <w:color w:val="000000" w:themeColor="text1"/>
          <w:sz w:val="20"/>
          <w:szCs w:val="20"/>
        </w:rPr>
        <w:t>–</w:t>
      </w:r>
      <w:r w:rsidR="009B4812" w:rsidRPr="00A45056">
        <w:rPr>
          <w:rFonts w:ascii="Verdana" w:hAnsi="Verdana"/>
          <w:color w:val="000000" w:themeColor="text1"/>
          <w:sz w:val="20"/>
          <w:szCs w:val="20"/>
        </w:rPr>
        <w:t xml:space="preserve"> il permanere della fitta trama di vincoli</w:t>
      </w:r>
      <w:r w:rsidR="001D743E">
        <w:rPr>
          <w:rFonts w:ascii="Verdana" w:hAnsi="Verdana"/>
          <w:color w:val="000000" w:themeColor="text1"/>
          <w:sz w:val="20"/>
          <w:szCs w:val="20"/>
        </w:rPr>
        <w:t xml:space="preserve"> </w:t>
      </w:r>
      <w:r w:rsidR="009B4812" w:rsidRPr="00A45056">
        <w:rPr>
          <w:rFonts w:ascii="Verdana" w:hAnsi="Verdana"/>
          <w:color w:val="000000" w:themeColor="text1"/>
          <w:sz w:val="20"/>
          <w:szCs w:val="20"/>
        </w:rPr>
        <w:t>cui il legislatore subordina l’esercizio dell’attività, a conferma della prevalenza dei profili di tutela della salute su quelli più schiettamente commerciali.</w:t>
      </w:r>
    </w:p>
    <w:p w:rsidR="0020679B" w:rsidRPr="00A45056" w:rsidRDefault="007D2346" w:rsidP="0020679B">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Infatti</w:t>
      </w:r>
      <w:r w:rsidR="00643B88" w:rsidRPr="00A45056">
        <w:rPr>
          <w:rFonts w:ascii="Verdana" w:hAnsi="Verdana"/>
          <w:color w:val="000000" w:themeColor="text1"/>
          <w:sz w:val="20"/>
          <w:szCs w:val="20"/>
        </w:rPr>
        <w:t>, il servizio farmaceutico costituisce un’articolazione del più ampio servizio sanitario nazionale (L. n. 833/1978)</w:t>
      </w:r>
      <w:r w:rsidR="0020679B" w:rsidRPr="00A45056">
        <w:rPr>
          <w:rFonts w:ascii="Verdana" w:hAnsi="Verdana"/>
          <w:color w:val="000000" w:themeColor="text1"/>
          <w:sz w:val="20"/>
          <w:szCs w:val="20"/>
        </w:rPr>
        <w:t>; segnatamente ai sensi dell’art. 28 della prefata legge, istitutiva del servizio sanitario nazionale, «</w:t>
      </w:r>
      <w:r w:rsidR="0020679B" w:rsidRPr="00A45056">
        <w:rPr>
          <w:rFonts w:ascii="Verdana" w:hAnsi="Verdana"/>
          <w:i/>
          <w:color w:val="000000" w:themeColor="text1"/>
          <w:sz w:val="20"/>
          <w:szCs w:val="20"/>
        </w:rPr>
        <w:t>L'unità sanitaria locale eroga l'assistenza farmaceutica attraverso le farmacie di cui sono titolari enti pubblici e le farmacie di cui sono titolari i privati</w:t>
      </w:r>
      <w:r w:rsidR="0020679B" w:rsidRPr="00A45056">
        <w:rPr>
          <w:rFonts w:ascii="Verdana" w:hAnsi="Verdana"/>
          <w:color w:val="000000" w:themeColor="text1"/>
          <w:sz w:val="20"/>
          <w:szCs w:val="20"/>
        </w:rPr>
        <w:t>».</w:t>
      </w:r>
    </w:p>
    <w:p w:rsidR="00F81CDD" w:rsidRPr="00A45056" w:rsidRDefault="001835F9" w:rsidP="001835F9">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Tale norma non è stata modificata né negli anni ’90, quando si è provveduto ad organizzare il servizio su base regionale (L. n. 421/1992), né </w:t>
      </w:r>
      <w:r w:rsidR="0020679B" w:rsidRPr="00A45056">
        <w:rPr>
          <w:rFonts w:ascii="Verdana" w:hAnsi="Verdana"/>
          <w:color w:val="000000" w:themeColor="text1"/>
          <w:sz w:val="20"/>
          <w:szCs w:val="20"/>
        </w:rPr>
        <w:t>a</w:t>
      </w:r>
      <w:r w:rsidR="00643B88" w:rsidRPr="00A45056">
        <w:rPr>
          <w:rFonts w:ascii="Verdana" w:hAnsi="Verdana"/>
          <w:color w:val="000000" w:themeColor="text1"/>
          <w:sz w:val="20"/>
          <w:szCs w:val="20"/>
        </w:rPr>
        <w:t xml:space="preserve"> seguito della riforma del Titolo V della Costituzione, </w:t>
      </w:r>
      <w:r w:rsidRPr="00A45056">
        <w:rPr>
          <w:rFonts w:ascii="Verdana" w:hAnsi="Verdana"/>
          <w:color w:val="000000" w:themeColor="text1"/>
          <w:sz w:val="20"/>
          <w:szCs w:val="20"/>
        </w:rPr>
        <w:t xml:space="preserve">che ha </w:t>
      </w:r>
      <w:r w:rsidR="00221F1C" w:rsidRPr="00A45056">
        <w:rPr>
          <w:rFonts w:ascii="Verdana" w:hAnsi="Verdana"/>
          <w:color w:val="000000" w:themeColor="text1"/>
          <w:sz w:val="20"/>
          <w:szCs w:val="20"/>
        </w:rPr>
        <w:t xml:space="preserve">confermato l’organizzazione regionale del servizio, </w:t>
      </w:r>
      <w:r w:rsidR="00B6068A">
        <w:rPr>
          <w:rFonts w:ascii="Verdana" w:hAnsi="Verdana"/>
          <w:color w:val="000000" w:themeColor="text1"/>
          <w:sz w:val="20"/>
          <w:szCs w:val="20"/>
        </w:rPr>
        <w:t>f</w:t>
      </w:r>
      <w:r w:rsidR="00221F1C" w:rsidRPr="00A45056">
        <w:rPr>
          <w:rFonts w:ascii="Verdana" w:hAnsi="Verdana"/>
          <w:color w:val="000000" w:themeColor="text1"/>
          <w:sz w:val="20"/>
          <w:szCs w:val="20"/>
        </w:rPr>
        <w:t xml:space="preserve">erma </w:t>
      </w:r>
      <w:proofErr w:type="gramStart"/>
      <w:r w:rsidR="00221F1C" w:rsidRPr="00A45056">
        <w:rPr>
          <w:rFonts w:ascii="Verdana" w:hAnsi="Verdana"/>
          <w:color w:val="000000" w:themeColor="text1"/>
          <w:sz w:val="20"/>
          <w:szCs w:val="20"/>
        </w:rPr>
        <w:t>restando  la</w:t>
      </w:r>
      <w:proofErr w:type="gramEnd"/>
      <w:r w:rsidR="00221F1C" w:rsidRPr="00A45056">
        <w:rPr>
          <w:rFonts w:ascii="Verdana" w:hAnsi="Verdana"/>
          <w:color w:val="000000" w:themeColor="text1"/>
          <w:sz w:val="20"/>
          <w:szCs w:val="20"/>
        </w:rPr>
        <w:t xml:space="preserve"> necessità </w:t>
      </w:r>
      <w:r w:rsidR="008A49CB">
        <w:rPr>
          <w:rFonts w:ascii="Verdana" w:hAnsi="Verdana"/>
          <w:color w:val="000000" w:themeColor="text1"/>
          <w:sz w:val="20"/>
          <w:szCs w:val="20"/>
        </w:rPr>
        <w:t>e la</w:t>
      </w:r>
      <w:r w:rsidR="001D743E">
        <w:rPr>
          <w:rFonts w:ascii="Verdana" w:hAnsi="Verdana"/>
          <w:color w:val="000000" w:themeColor="text1"/>
          <w:sz w:val="20"/>
          <w:szCs w:val="20"/>
        </w:rPr>
        <w:t xml:space="preserve"> garanzia di </w:t>
      </w:r>
      <w:r w:rsidR="00AF1361">
        <w:rPr>
          <w:rFonts w:ascii="Verdana" w:hAnsi="Verdana"/>
          <w:color w:val="000000" w:themeColor="text1"/>
          <w:sz w:val="20"/>
          <w:szCs w:val="20"/>
        </w:rPr>
        <w:t xml:space="preserve">una </w:t>
      </w:r>
      <w:r w:rsidR="001D743E">
        <w:rPr>
          <w:rFonts w:ascii="Verdana" w:hAnsi="Verdana"/>
          <w:color w:val="000000" w:themeColor="text1"/>
          <w:sz w:val="20"/>
          <w:szCs w:val="20"/>
        </w:rPr>
        <w:t xml:space="preserve">uniforme </w:t>
      </w:r>
      <w:r w:rsidR="00643B88" w:rsidRPr="00A45056">
        <w:rPr>
          <w:rFonts w:ascii="Verdana" w:hAnsi="Verdana"/>
          <w:color w:val="000000" w:themeColor="text1"/>
          <w:sz w:val="20"/>
          <w:szCs w:val="20"/>
        </w:rPr>
        <w:t xml:space="preserve">erogazione dei LEA (livelli essenziali di assistenza) di cui all’art. 117 comma secondo, </w:t>
      </w:r>
      <w:proofErr w:type="spellStart"/>
      <w:r w:rsidR="00643B88" w:rsidRPr="00A45056">
        <w:rPr>
          <w:rFonts w:ascii="Verdana" w:hAnsi="Verdana"/>
          <w:color w:val="000000" w:themeColor="text1"/>
          <w:sz w:val="20"/>
          <w:szCs w:val="20"/>
        </w:rPr>
        <w:t>lett</w:t>
      </w:r>
      <w:proofErr w:type="spellEnd"/>
      <w:r w:rsidR="00643B88" w:rsidRPr="00A45056">
        <w:rPr>
          <w:rFonts w:ascii="Verdana" w:hAnsi="Verdana"/>
          <w:color w:val="000000" w:themeColor="text1"/>
          <w:sz w:val="20"/>
          <w:szCs w:val="20"/>
        </w:rPr>
        <w:t xml:space="preserve">. m), </w:t>
      </w:r>
      <w:proofErr w:type="spellStart"/>
      <w:r w:rsidR="00643B88" w:rsidRPr="00A45056">
        <w:rPr>
          <w:rFonts w:ascii="Verdana" w:hAnsi="Verdana"/>
          <w:color w:val="000000" w:themeColor="text1"/>
          <w:sz w:val="20"/>
          <w:szCs w:val="20"/>
        </w:rPr>
        <w:t>Cost</w:t>
      </w:r>
      <w:proofErr w:type="spellEnd"/>
      <w:r w:rsidR="00643B88" w:rsidRPr="00A45056">
        <w:rPr>
          <w:rFonts w:ascii="Verdana" w:hAnsi="Verdana"/>
          <w:color w:val="000000" w:themeColor="text1"/>
          <w:sz w:val="20"/>
          <w:szCs w:val="20"/>
        </w:rPr>
        <w:t xml:space="preserve">. </w:t>
      </w:r>
    </w:p>
    <w:p w:rsidR="00643B88" w:rsidRPr="00A45056" w:rsidRDefault="00643B88" w:rsidP="00643B88">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Ne consegue che le farmacie, pubbliche e private, sono articolazioni del SSN, deputate ad erogare un servizio pubblico essenziale (l’assistenza farmaceutica), la cui disciplina fondamentale rimane affidata allo Stato</w:t>
      </w:r>
      <w:r w:rsidR="009D4830" w:rsidRPr="00A45056">
        <w:rPr>
          <w:rFonts w:ascii="Verdana" w:hAnsi="Verdana"/>
          <w:color w:val="000000" w:themeColor="text1"/>
          <w:sz w:val="20"/>
          <w:szCs w:val="20"/>
        </w:rPr>
        <w:t>; alle regioni spetta l’organizzazione concreta</w:t>
      </w:r>
      <w:r w:rsidRPr="00A45056">
        <w:rPr>
          <w:rFonts w:ascii="Verdana" w:hAnsi="Verdana"/>
          <w:color w:val="000000" w:themeColor="text1"/>
          <w:sz w:val="20"/>
          <w:szCs w:val="20"/>
        </w:rPr>
        <w:t xml:space="preserve"> </w:t>
      </w:r>
      <w:r w:rsidR="009D4830" w:rsidRPr="00A45056">
        <w:rPr>
          <w:rFonts w:ascii="Verdana" w:hAnsi="Verdana"/>
          <w:color w:val="000000" w:themeColor="text1"/>
          <w:sz w:val="20"/>
          <w:szCs w:val="20"/>
        </w:rPr>
        <w:t>in termini di pianificazione, programmazione e correlati effetti finanziari</w:t>
      </w:r>
      <w:r w:rsidRPr="00A45056">
        <w:rPr>
          <w:rFonts w:ascii="Verdana" w:hAnsi="Verdana"/>
          <w:color w:val="000000" w:themeColor="text1"/>
          <w:sz w:val="20"/>
          <w:szCs w:val="20"/>
        </w:rPr>
        <w:t xml:space="preserve">, </w:t>
      </w:r>
      <w:r w:rsidR="009D4830" w:rsidRPr="00A45056">
        <w:rPr>
          <w:rFonts w:ascii="Verdana" w:hAnsi="Verdana"/>
          <w:color w:val="000000" w:themeColor="text1"/>
          <w:sz w:val="20"/>
          <w:szCs w:val="20"/>
        </w:rPr>
        <w:t>mentre la</w:t>
      </w:r>
      <w:r w:rsidRPr="00A45056">
        <w:rPr>
          <w:rFonts w:ascii="Verdana" w:hAnsi="Verdana"/>
          <w:color w:val="000000" w:themeColor="text1"/>
          <w:sz w:val="20"/>
          <w:szCs w:val="20"/>
        </w:rPr>
        <w:t xml:space="preserve"> materiale erogazione e titolarità degli esercizi può essere assunta anche a livello locale, mediante i comuni (in tal caso costituendo un servizio pubblico locale). </w:t>
      </w:r>
    </w:p>
    <w:p w:rsidR="0075425F" w:rsidRPr="00A45056" w:rsidRDefault="00FF452B" w:rsidP="00BA7E5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Nel contesto così delineato, la vendita e distribuzione dei farmaci, e gli eventuali servizi accessori, costituiscono senza dubbio un’attività economica, notoriamente </w:t>
      </w:r>
      <w:r w:rsidR="00355526" w:rsidRPr="00A45056">
        <w:rPr>
          <w:rFonts w:ascii="Verdana" w:hAnsi="Verdana"/>
          <w:color w:val="000000" w:themeColor="text1"/>
          <w:sz w:val="20"/>
          <w:szCs w:val="20"/>
        </w:rPr>
        <w:t>reddit</w:t>
      </w:r>
      <w:r w:rsidR="00355526">
        <w:rPr>
          <w:rFonts w:ascii="Verdana" w:hAnsi="Verdana"/>
          <w:color w:val="000000" w:themeColor="text1"/>
          <w:sz w:val="20"/>
          <w:szCs w:val="20"/>
        </w:rPr>
        <w:t>izia</w:t>
      </w:r>
      <w:r w:rsidRPr="00A45056">
        <w:rPr>
          <w:rFonts w:ascii="Verdana" w:hAnsi="Verdana"/>
          <w:color w:val="000000" w:themeColor="text1"/>
          <w:sz w:val="20"/>
          <w:szCs w:val="20"/>
        </w:rPr>
        <w:t>, svolgibile in regime di concorrenza.</w:t>
      </w:r>
    </w:p>
    <w:p w:rsidR="00FF452B" w:rsidRPr="00A45056" w:rsidRDefault="00FF452B" w:rsidP="00BA7E5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Tuttavia, in ragione dell’esigenze sociali sopra </w:t>
      </w:r>
      <w:r w:rsidR="00FB64B3" w:rsidRPr="00A45056">
        <w:rPr>
          <w:rFonts w:ascii="Verdana" w:hAnsi="Verdana"/>
          <w:color w:val="000000" w:themeColor="text1"/>
          <w:sz w:val="20"/>
          <w:szCs w:val="20"/>
        </w:rPr>
        <w:t>richiamate, per</w:t>
      </w:r>
      <w:r w:rsidRPr="00A45056">
        <w:rPr>
          <w:rFonts w:ascii="Verdana" w:hAnsi="Verdana"/>
          <w:color w:val="000000" w:themeColor="text1"/>
          <w:sz w:val="20"/>
          <w:szCs w:val="20"/>
        </w:rPr>
        <w:t xml:space="preserve"> il carattere sanitario del servizio, anche le farmacie private fanno parte del Sistema sanitario nazionale e sono </w:t>
      </w:r>
      <w:r w:rsidR="00FB64B3" w:rsidRPr="00A45056">
        <w:rPr>
          <w:rFonts w:ascii="Verdana" w:hAnsi="Verdana"/>
          <w:color w:val="000000" w:themeColor="text1"/>
          <w:sz w:val="20"/>
          <w:szCs w:val="20"/>
        </w:rPr>
        <w:t>sottoposte ad obblighi di legge.</w:t>
      </w:r>
    </w:p>
    <w:p w:rsidR="00BA7E55" w:rsidRPr="00A45056" w:rsidRDefault="00BA7E55" w:rsidP="00BA7E5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In tale ottica si rammenta che l’eventuale riserva di titolarità del servizio in favore dell’ente locale costituisce una deroga alla concorrenza, trovando il proprio fondamento nell’art. 43 </w:t>
      </w:r>
      <w:proofErr w:type="spellStart"/>
      <w:r w:rsidRPr="00A45056">
        <w:rPr>
          <w:rFonts w:ascii="Verdana" w:hAnsi="Verdana"/>
          <w:color w:val="000000" w:themeColor="text1"/>
          <w:sz w:val="20"/>
          <w:szCs w:val="20"/>
        </w:rPr>
        <w:t>Cost</w:t>
      </w:r>
      <w:proofErr w:type="spellEnd"/>
      <w:r w:rsidRPr="00A45056">
        <w:rPr>
          <w:rFonts w:ascii="Verdana" w:hAnsi="Verdana"/>
          <w:color w:val="000000" w:themeColor="text1"/>
          <w:sz w:val="20"/>
          <w:szCs w:val="20"/>
        </w:rPr>
        <w:t xml:space="preserve">. </w:t>
      </w:r>
      <w:proofErr w:type="gramStart"/>
      <w:r w:rsidRPr="00A45056">
        <w:rPr>
          <w:rFonts w:ascii="Verdana" w:hAnsi="Verdana"/>
          <w:color w:val="000000" w:themeColor="text1"/>
          <w:sz w:val="20"/>
          <w:szCs w:val="20"/>
        </w:rPr>
        <w:t>e</w:t>
      </w:r>
      <w:proofErr w:type="gramEnd"/>
      <w:r w:rsidRPr="00A45056">
        <w:rPr>
          <w:rFonts w:ascii="Verdana" w:hAnsi="Verdana"/>
          <w:color w:val="000000" w:themeColor="text1"/>
          <w:sz w:val="20"/>
          <w:szCs w:val="20"/>
        </w:rPr>
        <w:t xml:space="preserve"> nell’art. 41 </w:t>
      </w:r>
      <w:proofErr w:type="spellStart"/>
      <w:r w:rsidRPr="00A45056">
        <w:rPr>
          <w:rFonts w:ascii="Verdana" w:hAnsi="Verdana"/>
          <w:color w:val="000000" w:themeColor="text1"/>
          <w:sz w:val="20"/>
          <w:szCs w:val="20"/>
        </w:rPr>
        <w:t>Cost</w:t>
      </w:r>
      <w:proofErr w:type="spellEnd"/>
      <w:r w:rsidRPr="00A45056">
        <w:rPr>
          <w:rFonts w:ascii="Verdana" w:hAnsi="Verdana"/>
          <w:color w:val="000000" w:themeColor="text1"/>
          <w:sz w:val="20"/>
          <w:szCs w:val="20"/>
        </w:rPr>
        <w:t>. (SRC Lombardia n. 196/2009/PAR) che consentono la limitazione legislativa dell’iniziativa economica per il perseguimento di un’utilità sociale.</w:t>
      </w:r>
    </w:p>
    <w:p w:rsidR="00A21630" w:rsidRPr="00A45056" w:rsidRDefault="00A21630" w:rsidP="00A21630">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Tuttavia, le innegabili connotazioni sociali del servizio</w:t>
      </w:r>
      <w:r w:rsidR="004F6A98" w:rsidRPr="00A45056">
        <w:rPr>
          <w:rFonts w:ascii="Verdana" w:hAnsi="Verdana"/>
          <w:i/>
          <w:color w:val="000000" w:themeColor="text1"/>
          <w:sz w:val="20"/>
          <w:szCs w:val="20"/>
        </w:rPr>
        <w:t xml:space="preserve"> </w:t>
      </w:r>
      <w:r w:rsidR="004F6A98" w:rsidRPr="00A45056">
        <w:rPr>
          <w:rFonts w:ascii="Verdana" w:hAnsi="Verdana"/>
          <w:color w:val="000000" w:themeColor="text1"/>
          <w:sz w:val="20"/>
          <w:szCs w:val="20"/>
        </w:rPr>
        <w:t>(in quanto ascrivibile al novero delle «</w:t>
      </w:r>
      <w:r w:rsidR="004F6A98" w:rsidRPr="00A45056">
        <w:rPr>
          <w:rFonts w:ascii="Verdana" w:hAnsi="Verdana"/>
          <w:i/>
          <w:color w:val="000000" w:themeColor="text1"/>
          <w:sz w:val="20"/>
          <w:szCs w:val="20"/>
        </w:rPr>
        <w:t>attività rivolte a realizzare fini sociali ed a promuovere lo sviluppo economico e civile delle comunità locali</w:t>
      </w:r>
      <w:r w:rsidR="004F6A98" w:rsidRPr="00A45056">
        <w:rPr>
          <w:rFonts w:ascii="Verdana" w:hAnsi="Verdana"/>
          <w:color w:val="000000" w:themeColor="text1"/>
          <w:sz w:val="20"/>
          <w:szCs w:val="20"/>
        </w:rPr>
        <w:t xml:space="preserve">” (cfr., </w:t>
      </w:r>
      <w:r w:rsidR="004F6A98" w:rsidRPr="00A45056">
        <w:rPr>
          <w:rFonts w:ascii="Verdana" w:hAnsi="Verdana"/>
          <w:i/>
          <w:color w:val="000000" w:themeColor="text1"/>
          <w:sz w:val="20"/>
          <w:szCs w:val="20"/>
        </w:rPr>
        <w:t xml:space="preserve">ex </w:t>
      </w:r>
      <w:proofErr w:type="spellStart"/>
      <w:r w:rsidR="004F6A98" w:rsidRPr="00A45056">
        <w:rPr>
          <w:rFonts w:ascii="Verdana" w:hAnsi="Verdana"/>
          <w:i/>
          <w:color w:val="000000" w:themeColor="text1"/>
          <w:sz w:val="20"/>
          <w:szCs w:val="20"/>
        </w:rPr>
        <w:t>multiis</w:t>
      </w:r>
      <w:proofErr w:type="spellEnd"/>
      <w:r w:rsidR="004F6A98" w:rsidRPr="00A45056">
        <w:rPr>
          <w:rFonts w:ascii="Verdana" w:hAnsi="Verdana"/>
          <w:color w:val="000000" w:themeColor="text1"/>
          <w:sz w:val="20"/>
          <w:szCs w:val="20"/>
        </w:rPr>
        <w:t xml:space="preserve">, Corte dei conti, sez. reg. controllo Puglia, parere n. 3 del 2008; Corte dei Conti, Marche, sez. contr., 7 agosto 2013, n. 57; </w:t>
      </w:r>
      <w:proofErr w:type="spellStart"/>
      <w:r w:rsidR="004F6A98" w:rsidRPr="00A45056">
        <w:rPr>
          <w:rFonts w:ascii="Verdana" w:hAnsi="Verdana"/>
          <w:color w:val="000000" w:themeColor="text1"/>
          <w:sz w:val="20"/>
          <w:szCs w:val="20"/>
        </w:rPr>
        <w:t>Cons</w:t>
      </w:r>
      <w:proofErr w:type="spellEnd"/>
      <w:r w:rsidR="004F6A98" w:rsidRPr="00A45056">
        <w:rPr>
          <w:rFonts w:ascii="Verdana" w:hAnsi="Verdana"/>
          <w:color w:val="000000" w:themeColor="text1"/>
          <w:sz w:val="20"/>
          <w:szCs w:val="20"/>
        </w:rPr>
        <w:t xml:space="preserve">. Stato, sez. III, n. 729 del 2013; TAR Campania, Napoli, sez. V, </w:t>
      </w:r>
      <w:proofErr w:type="spellStart"/>
      <w:r w:rsidR="004F6A98" w:rsidRPr="00A45056">
        <w:rPr>
          <w:rFonts w:ascii="Verdana" w:hAnsi="Verdana"/>
          <w:color w:val="000000" w:themeColor="text1"/>
          <w:sz w:val="20"/>
          <w:szCs w:val="20"/>
        </w:rPr>
        <w:t>nn</w:t>
      </w:r>
      <w:proofErr w:type="spellEnd"/>
      <w:r w:rsidR="004F6A98" w:rsidRPr="00A45056">
        <w:rPr>
          <w:rFonts w:ascii="Verdana" w:hAnsi="Verdana"/>
          <w:color w:val="000000" w:themeColor="text1"/>
          <w:sz w:val="20"/>
          <w:szCs w:val="20"/>
        </w:rPr>
        <w:t xml:space="preserve">. 1495 del 2008; 2939 del 2011 </w:t>
      </w:r>
      <w:proofErr w:type="gramStart"/>
      <w:r w:rsidR="004F6A98" w:rsidRPr="00A45056">
        <w:rPr>
          <w:rFonts w:ascii="Verdana" w:hAnsi="Verdana"/>
          <w:color w:val="000000" w:themeColor="text1"/>
          <w:sz w:val="20"/>
          <w:szCs w:val="20"/>
        </w:rPr>
        <w:t>e  699</w:t>
      </w:r>
      <w:proofErr w:type="gramEnd"/>
      <w:r w:rsidR="004F6A98" w:rsidRPr="00A45056">
        <w:rPr>
          <w:rFonts w:ascii="Verdana" w:hAnsi="Verdana"/>
          <w:color w:val="000000" w:themeColor="text1"/>
          <w:sz w:val="20"/>
          <w:szCs w:val="20"/>
        </w:rPr>
        <w:t xml:space="preserve"> del 2012 e Tar Piemonte Sez. II, 14/6/2013 n. 767)</w:t>
      </w:r>
      <w:r w:rsidR="00C257D5" w:rsidRPr="00A45056">
        <w:rPr>
          <w:rFonts w:ascii="Verdana" w:hAnsi="Verdana"/>
          <w:color w:val="000000" w:themeColor="text1"/>
          <w:sz w:val="20"/>
          <w:szCs w:val="20"/>
        </w:rPr>
        <w:t>, non lo pri</w:t>
      </w:r>
      <w:r w:rsidRPr="00A45056">
        <w:rPr>
          <w:rFonts w:ascii="Verdana" w:hAnsi="Verdana"/>
          <w:color w:val="000000" w:themeColor="text1"/>
          <w:sz w:val="20"/>
          <w:szCs w:val="20"/>
        </w:rPr>
        <w:t>vano della sua rilevanza economica</w:t>
      </w:r>
      <w:r w:rsidR="001D743E">
        <w:rPr>
          <w:rFonts w:ascii="Verdana" w:hAnsi="Verdana"/>
          <w:color w:val="000000" w:themeColor="text1"/>
          <w:sz w:val="20"/>
          <w:szCs w:val="20"/>
        </w:rPr>
        <w:t>.</w:t>
      </w:r>
      <w:r w:rsidRPr="00A45056">
        <w:rPr>
          <w:rFonts w:ascii="Verdana" w:hAnsi="Verdana"/>
          <w:color w:val="000000" w:themeColor="text1"/>
          <w:sz w:val="20"/>
          <w:szCs w:val="20"/>
        </w:rPr>
        <w:t xml:space="preserve"> </w:t>
      </w:r>
    </w:p>
    <w:p w:rsidR="00365C5C" w:rsidRPr="00A45056" w:rsidRDefault="00A21630" w:rsidP="00365C5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lastRenderedPageBreak/>
        <w:t xml:space="preserve">Di talché la giurisprudenza ne ha chiarito la natura </w:t>
      </w:r>
      <w:r w:rsidR="009266D2" w:rsidRPr="00A45056">
        <w:rPr>
          <w:rFonts w:ascii="Verdana" w:hAnsi="Verdana"/>
          <w:color w:val="000000" w:themeColor="text1"/>
          <w:sz w:val="20"/>
          <w:szCs w:val="20"/>
        </w:rPr>
        <w:t xml:space="preserve"> di servizio pubblico essenziale, a carattere locale, e a tendenziale rilevanza economica (Corte dei Conti SRC Lombardia, deliberazioni n.</w:t>
      </w:r>
      <w:r w:rsidR="00377A99" w:rsidRPr="00A45056">
        <w:rPr>
          <w:rFonts w:ascii="Verdana" w:hAnsi="Verdana"/>
          <w:color w:val="000000" w:themeColor="text1"/>
          <w:sz w:val="20"/>
          <w:szCs w:val="20"/>
        </w:rPr>
        <w:t xml:space="preserve"> </w:t>
      </w:r>
      <w:r w:rsidR="009266D2" w:rsidRPr="00A45056">
        <w:rPr>
          <w:rFonts w:ascii="Verdana" w:hAnsi="Verdana"/>
          <w:color w:val="000000" w:themeColor="text1"/>
          <w:sz w:val="20"/>
          <w:szCs w:val="20"/>
        </w:rPr>
        <w:t>195/2009/PAR e n. 196/2009/PAR; 532/2012 nonché Campania 260/2014/PRSP; Consiglio di Stato</w:t>
      </w:r>
      <w:r w:rsidR="00280104" w:rsidRPr="00A45056">
        <w:rPr>
          <w:rFonts w:ascii="Verdana" w:hAnsi="Verdana"/>
          <w:color w:val="000000" w:themeColor="text1"/>
          <w:sz w:val="20"/>
          <w:szCs w:val="20"/>
        </w:rPr>
        <w:t>,</w:t>
      </w:r>
      <w:r w:rsidR="009266D2" w:rsidRPr="00A45056">
        <w:rPr>
          <w:rFonts w:ascii="Verdana" w:hAnsi="Verdana"/>
          <w:color w:val="000000" w:themeColor="text1"/>
          <w:sz w:val="20"/>
          <w:szCs w:val="20"/>
        </w:rPr>
        <w:t xml:space="preserve"> Sez</w:t>
      </w:r>
      <w:r w:rsidR="00280104" w:rsidRPr="00A45056">
        <w:rPr>
          <w:rFonts w:ascii="Verdana" w:hAnsi="Verdana"/>
          <w:color w:val="000000" w:themeColor="text1"/>
          <w:sz w:val="20"/>
          <w:szCs w:val="20"/>
        </w:rPr>
        <w:t>.</w:t>
      </w:r>
      <w:r w:rsidR="009266D2" w:rsidRPr="00A45056">
        <w:rPr>
          <w:rFonts w:ascii="Verdana" w:hAnsi="Verdana"/>
          <w:color w:val="000000" w:themeColor="text1"/>
          <w:sz w:val="20"/>
          <w:szCs w:val="20"/>
        </w:rPr>
        <w:t xml:space="preserve"> V</w:t>
      </w:r>
      <w:r w:rsidR="00280104" w:rsidRPr="00A45056">
        <w:rPr>
          <w:rFonts w:ascii="Verdana" w:hAnsi="Verdana"/>
          <w:color w:val="000000" w:themeColor="text1"/>
          <w:sz w:val="20"/>
          <w:szCs w:val="20"/>
        </w:rPr>
        <w:t>,</w:t>
      </w:r>
      <w:r w:rsidR="009266D2" w:rsidRPr="00A45056">
        <w:rPr>
          <w:rFonts w:ascii="Verdana" w:hAnsi="Verdana"/>
          <w:color w:val="000000" w:themeColor="text1"/>
          <w:sz w:val="20"/>
          <w:szCs w:val="20"/>
        </w:rPr>
        <w:t xml:space="preserve"> 15 febbraio 2007, n. 637 e 8 maggio 2007 n. 2110; Tar Campania, Salerno </w:t>
      </w:r>
      <w:r w:rsidR="00DC169A" w:rsidRPr="00A45056">
        <w:rPr>
          <w:rFonts w:ascii="Verdana" w:hAnsi="Verdana"/>
          <w:color w:val="000000" w:themeColor="text1"/>
          <w:sz w:val="20"/>
          <w:szCs w:val="20"/>
        </w:rPr>
        <w:t>Sez. I 22 febbraio 2006, n. 198</w:t>
      </w:r>
      <w:r w:rsidR="009266D2" w:rsidRPr="00A45056">
        <w:rPr>
          <w:rFonts w:ascii="Verdana" w:hAnsi="Verdana"/>
          <w:color w:val="000000" w:themeColor="text1"/>
          <w:sz w:val="20"/>
          <w:szCs w:val="20"/>
        </w:rPr>
        <w:t>; Tar Lombardia, Milano, sez</w:t>
      </w:r>
      <w:r w:rsidR="00365C5C" w:rsidRPr="00A45056">
        <w:rPr>
          <w:rFonts w:ascii="Verdana" w:hAnsi="Verdana"/>
          <w:color w:val="000000" w:themeColor="text1"/>
          <w:sz w:val="20"/>
          <w:szCs w:val="20"/>
        </w:rPr>
        <w:t>. III, 23 aprile 2009, n. 3567): l’intervento della pubblica amministrazione nella gestione dell’attività è strumentale ad una più completa tutela del diritto alla salute (SRC Campania n. 260/2014/PAR), garantendo, ad esempio, l’accessibilità anche nelle aree territoriali caratterizzate da minor densità abitativa (</w:t>
      </w:r>
      <w:proofErr w:type="spellStart"/>
      <w:r w:rsidR="00365C5C" w:rsidRPr="00A45056">
        <w:rPr>
          <w:rFonts w:ascii="Verdana" w:hAnsi="Verdana"/>
          <w:color w:val="000000" w:themeColor="text1"/>
          <w:sz w:val="20"/>
          <w:szCs w:val="20"/>
        </w:rPr>
        <w:t>Cons</w:t>
      </w:r>
      <w:proofErr w:type="spellEnd"/>
      <w:r w:rsidR="00365C5C" w:rsidRPr="00A45056">
        <w:rPr>
          <w:rFonts w:ascii="Verdana" w:hAnsi="Verdana"/>
          <w:color w:val="000000" w:themeColor="text1"/>
          <w:sz w:val="20"/>
          <w:szCs w:val="20"/>
        </w:rPr>
        <w:t xml:space="preserve"> Stato, </w:t>
      </w:r>
      <w:proofErr w:type="spellStart"/>
      <w:r w:rsidR="00365C5C" w:rsidRPr="00A45056">
        <w:rPr>
          <w:rFonts w:ascii="Verdana" w:hAnsi="Verdana"/>
          <w:color w:val="000000" w:themeColor="text1"/>
          <w:sz w:val="20"/>
          <w:szCs w:val="20"/>
        </w:rPr>
        <w:t>sent</w:t>
      </w:r>
      <w:proofErr w:type="spellEnd"/>
      <w:r w:rsidR="00365C5C" w:rsidRPr="00A45056">
        <w:rPr>
          <w:rFonts w:ascii="Verdana" w:hAnsi="Verdana"/>
          <w:color w:val="000000" w:themeColor="text1"/>
          <w:sz w:val="20"/>
          <w:szCs w:val="20"/>
        </w:rPr>
        <w:t xml:space="preserve">. n. 5587/2014) e dunque assicurando alla collettività modalità di servizio che, in quanto poco redditizie, sarebbero trascurate dai privati (T.A.R. Campania, Salerno, I, 22.2.2006, n.198; T.A.R. Umbria, 16.2.2000, n.142). </w:t>
      </w:r>
    </w:p>
    <w:p w:rsidR="000034A6" w:rsidRPr="00A45056" w:rsidRDefault="00C257D5" w:rsidP="00E52F3C">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In definitiva il servizio di assistenza farmaceutica, quando svolto da soggetti pubblici, è un servizio “pubblico”, di </w:t>
      </w:r>
      <w:r w:rsidR="00DF17A5" w:rsidRPr="00A45056">
        <w:rPr>
          <w:rFonts w:ascii="Verdana" w:hAnsi="Verdana"/>
          <w:color w:val="000000" w:themeColor="text1"/>
          <w:sz w:val="20"/>
          <w:szCs w:val="20"/>
        </w:rPr>
        <w:t>“natura economica”</w:t>
      </w:r>
      <w:r w:rsidR="00A330D0" w:rsidRPr="00A45056">
        <w:rPr>
          <w:rFonts w:ascii="Verdana" w:hAnsi="Verdana"/>
          <w:color w:val="000000" w:themeColor="text1"/>
          <w:sz w:val="20"/>
          <w:szCs w:val="20"/>
        </w:rPr>
        <w:t xml:space="preserve"> </w:t>
      </w:r>
      <w:r w:rsidRPr="00A45056">
        <w:rPr>
          <w:rFonts w:ascii="Verdana" w:hAnsi="Verdana"/>
          <w:color w:val="000000" w:themeColor="text1"/>
          <w:sz w:val="20"/>
          <w:szCs w:val="20"/>
        </w:rPr>
        <w:t>e a</w:t>
      </w:r>
      <w:r w:rsidR="00A330D0" w:rsidRPr="00A45056">
        <w:rPr>
          <w:rFonts w:ascii="Verdana" w:hAnsi="Verdana"/>
          <w:color w:val="000000" w:themeColor="text1"/>
          <w:sz w:val="20"/>
          <w:szCs w:val="20"/>
        </w:rPr>
        <w:t xml:space="preserve"> carattere “locale”</w:t>
      </w:r>
      <w:r w:rsidR="00003352" w:rsidRPr="00A45056">
        <w:rPr>
          <w:rFonts w:ascii="Verdana" w:hAnsi="Verdana"/>
          <w:color w:val="000000" w:themeColor="text1"/>
          <w:sz w:val="20"/>
          <w:szCs w:val="20"/>
        </w:rPr>
        <w:t xml:space="preserve">: </w:t>
      </w:r>
      <w:r w:rsidR="00E52F3C" w:rsidRPr="00A45056">
        <w:rPr>
          <w:rFonts w:ascii="Verdana" w:hAnsi="Verdana"/>
          <w:color w:val="000000" w:themeColor="text1"/>
          <w:sz w:val="20"/>
          <w:szCs w:val="20"/>
        </w:rPr>
        <w:t xml:space="preserve">ed infatti, il Legislatore, nel dettare la disciplina generale per tali servizi ha ritenuto di dover sistematicamente </w:t>
      </w:r>
      <w:proofErr w:type="gramStart"/>
      <w:r w:rsidR="00E52F3C" w:rsidRPr="00A45056">
        <w:rPr>
          <w:rFonts w:ascii="Verdana" w:hAnsi="Verdana"/>
          <w:color w:val="000000" w:themeColor="text1"/>
          <w:sz w:val="20"/>
          <w:szCs w:val="20"/>
        </w:rPr>
        <w:t xml:space="preserve">escludere </w:t>
      </w:r>
      <w:r w:rsidR="00003352" w:rsidRPr="00A45056">
        <w:rPr>
          <w:rFonts w:ascii="Verdana" w:hAnsi="Verdana"/>
          <w:color w:val="000000" w:themeColor="text1"/>
          <w:sz w:val="20"/>
          <w:szCs w:val="20"/>
        </w:rPr>
        <w:t xml:space="preserve"> </w:t>
      </w:r>
      <w:r w:rsidR="00E52F3C" w:rsidRPr="00A45056">
        <w:rPr>
          <w:rFonts w:ascii="Verdana" w:hAnsi="Verdana"/>
          <w:color w:val="000000" w:themeColor="text1"/>
          <w:sz w:val="20"/>
          <w:szCs w:val="20"/>
        </w:rPr>
        <w:t>l’attività</w:t>
      </w:r>
      <w:proofErr w:type="gramEnd"/>
      <w:r w:rsidR="00E52F3C" w:rsidRPr="00A45056">
        <w:rPr>
          <w:rFonts w:ascii="Verdana" w:hAnsi="Verdana"/>
          <w:color w:val="000000" w:themeColor="text1"/>
          <w:sz w:val="20"/>
          <w:szCs w:val="20"/>
        </w:rPr>
        <w:t xml:space="preserve"> farmaceutica dall’ambito di applicazione delle relative norme, </w:t>
      </w:r>
      <w:r w:rsidR="001D743E">
        <w:rPr>
          <w:rFonts w:ascii="Verdana" w:hAnsi="Verdana"/>
          <w:color w:val="000000" w:themeColor="text1"/>
          <w:sz w:val="20"/>
          <w:szCs w:val="20"/>
        </w:rPr>
        <w:t>al</w:t>
      </w:r>
      <w:r w:rsidR="001D743E" w:rsidRPr="00A45056">
        <w:rPr>
          <w:rFonts w:ascii="Verdana" w:hAnsi="Verdana"/>
          <w:color w:val="000000" w:themeColor="text1"/>
          <w:sz w:val="20"/>
          <w:szCs w:val="20"/>
        </w:rPr>
        <w:t>l</w:t>
      </w:r>
      <w:r w:rsidR="001D743E">
        <w:rPr>
          <w:rFonts w:ascii="Verdana" w:hAnsi="Verdana"/>
          <w:color w:val="000000" w:themeColor="text1"/>
          <w:sz w:val="20"/>
          <w:szCs w:val="20"/>
        </w:rPr>
        <w:t>e</w:t>
      </w:r>
      <w:r w:rsidR="001D743E" w:rsidRPr="00A45056">
        <w:rPr>
          <w:rFonts w:ascii="Verdana" w:hAnsi="Verdana"/>
          <w:color w:val="000000" w:themeColor="text1"/>
          <w:sz w:val="20"/>
          <w:szCs w:val="20"/>
        </w:rPr>
        <w:t xml:space="preserve"> qual</w:t>
      </w:r>
      <w:r w:rsidR="001D743E">
        <w:rPr>
          <w:rFonts w:ascii="Verdana" w:hAnsi="Verdana"/>
          <w:color w:val="000000" w:themeColor="text1"/>
          <w:sz w:val="20"/>
          <w:szCs w:val="20"/>
        </w:rPr>
        <w:t>i</w:t>
      </w:r>
      <w:r w:rsidR="00E52F3C" w:rsidRPr="00A45056">
        <w:rPr>
          <w:rFonts w:ascii="Verdana" w:hAnsi="Verdana"/>
          <w:color w:val="000000" w:themeColor="text1"/>
          <w:sz w:val="20"/>
          <w:szCs w:val="20"/>
        </w:rPr>
        <w:t>, altrimenti, sarebbe stata pienamente assoggettata</w:t>
      </w:r>
      <w:r w:rsidR="000034A6" w:rsidRPr="00A45056">
        <w:rPr>
          <w:rFonts w:ascii="Verdana" w:hAnsi="Verdana"/>
          <w:color w:val="000000" w:themeColor="text1"/>
          <w:sz w:val="20"/>
          <w:szCs w:val="20"/>
        </w:rPr>
        <w:t>.</w:t>
      </w:r>
    </w:p>
    <w:p w:rsidR="00835028" w:rsidRPr="00A45056" w:rsidRDefault="000034A6" w:rsidP="00E52F3C">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Con una breve rassegna si può</w:t>
      </w:r>
      <w:r w:rsidR="00962091">
        <w:rPr>
          <w:rFonts w:ascii="Verdana" w:hAnsi="Verdana"/>
          <w:color w:val="000000" w:themeColor="text1"/>
          <w:sz w:val="20"/>
          <w:szCs w:val="20"/>
        </w:rPr>
        <w:t>, infatti,</w:t>
      </w:r>
      <w:r w:rsidRPr="00A45056">
        <w:rPr>
          <w:rFonts w:ascii="Verdana" w:hAnsi="Verdana"/>
          <w:color w:val="000000" w:themeColor="text1"/>
          <w:sz w:val="20"/>
          <w:szCs w:val="20"/>
        </w:rPr>
        <w:t xml:space="preserve"> ricordare che</w:t>
      </w:r>
      <w:r w:rsidR="00835028" w:rsidRPr="00A45056">
        <w:rPr>
          <w:rFonts w:ascii="Verdana" w:hAnsi="Verdana"/>
          <w:color w:val="000000" w:themeColor="text1"/>
          <w:sz w:val="20"/>
          <w:szCs w:val="20"/>
        </w:rPr>
        <w:t xml:space="preserve"> il D.L. n. 135/2009, nel testo emerso dalla conversione operata dalla legge n. 166/2009, ha </w:t>
      </w:r>
      <w:r w:rsidRPr="00A45056">
        <w:rPr>
          <w:rFonts w:ascii="Verdana" w:hAnsi="Verdana"/>
          <w:color w:val="000000" w:themeColor="text1"/>
          <w:sz w:val="20"/>
          <w:szCs w:val="20"/>
        </w:rPr>
        <w:t xml:space="preserve">precipuamente </w:t>
      </w:r>
      <w:r w:rsidR="00835028" w:rsidRPr="00A45056">
        <w:rPr>
          <w:rFonts w:ascii="Verdana" w:hAnsi="Verdana"/>
          <w:color w:val="000000" w:themeColor="text1"/>
          <w:sz w:val="20"/>
          <w:szCs w:val="20"/>
        </w:rPr>
        <w:t>escluso le farmacie comunali dalla disciplina dei servizi a rilevanza economica, dettata dall’art. 23-bis del D.L. n. 112/2008 (convertito c</w:t>
      </w:r>
      <w:r w:rsidRPr="00A45056">
        <w:rPr>
          <w:rFonts w:ascii="Verdana" w:hAnsi="Verdana"/>
          <w:color w:val="000000" w:themeColor="text1"/>
          <w:sz w:val="20"/>
          <w:szCs w:val="20"/>
        </w:rPr>
        <w:t>on legge 6 agosto 2008, n.133), rimanendo le stesse assoggettate alla specifica disciplina di settore (</w:t>
      </w:r>
      <w:r w:rsidRPr="00A45056">
        <w:rPr>
          <w:rFonts w:ascii="Verdana" w:hAnsi="Verdana"/>
          <w:i/>
          <w:color w:val="000000" w:themeColor="text1"/>
          <w:sz w:val="20"/>
          <w:szCs w:val="20"/>
        </w:rPr>
        <w:t>in primis</w:t>
      </w:r>
      <w:r w:rsidRPr="00A45056">
        <w:rPr>
          <w:rFonts w:ascii="Verdana" w:hAnsi="Verdana"/>
          <w:color w:val="000000" w:themeColor="text1"/>
          <w:sz w:val="20"/>
          <w:szCs w:val="20"/>
        </w:rPr>
        <w:t>, la L. n. 475/1968)</w:t>
      </w:r>
    </w:p>
    <w:p w:rsidR="00835028" w:rsidRPr="00A45056" w:rsidRDefault="00835028" w:rsidP="00835028">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Il referendum abrogativo del citato art. 23-bis (consacrato nel D.P.R. 19 luglio 2011, n.</w:t>
      </w:r>
      <w:r w:rsidR="00F44468" w:rsidRPr="00A45056">
        <w:rPr>
          <w:rFonts w:ascii="Verdana" w:hAnsi="Verdana"/>
          <w:color w:val="000000" w:themeColor="text1"/>
          <w:sz w:val="20"/>
          <w:szCs w:val="20"/>
        </w:rPr>
        <w:t xml:space="preserve"> </w:t>
      </w:r>
      <w:r w:rsidRPr="00A45056">
        <w:rPr>
          <w:rFonts w:ascii="Verdana" w:hAnsi="Verdana"/>
          <w:color w:val="000000" w:themeColor="text1"/>
          <w:sz w:val="20"/>
          <w:szCs w:val="20"/>
        </w:rPr>
        <w:t>133) ha pertanto solo marginalmente inciso sulla questione della disciplina applicabile ai settori “esclusi”.</w:t>
      </w:r>
    </w:p>
    <w:p w:rsidR="00835028" w:rsidRPr="00A45056" w:rsidRDefault="00835028" w:rsidP="00835028">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Anche l’art. 4, comma 34, del D.L. n. 138/2011, recante “adeguamento della disciplina dei servizi pubblici locali al referendum popolare e alla normativa dell’Unione Europea”, escludeva dal proprio campo operativo (ad eccezione dei commi da 19 a 27), alcuni servizi, fra cui la gestione delle far</w:t>
      </w:r>
      <w:r w:rsidR="001E3051" w:rsidRPr="00A45056">
        <w:rPr>
          <w:rFonts w:ascii="Verdana" w:hAnsi="Verdana"/>
          <w:color w:val="000000" w:themeColor="text1"/>
          <w:sz w:val="20"/>
          <w:szCs w:val="20"/>
        </w:rPr>
        <w:t>macie comunali, regolate dalla L</w:t>
      </w:r>
      <w:r w:rsidRPr="00A45056">
        <w:rPr>
          <w:rFonts w:ascii="Verdana" w:hAnsi="Verdana"/>
          <w:color w:val="000000" w:themeColor="text1"/>
          <w:sz w:val="20"/>
          <w:szCs w:val="20"/>
        </w:rPr>
        <w:t>egge n. 475/1968.</w:t>
      </w:r>
    </w:p>
    <w:p w:rsidR="00835028" w:rsidRPr="00A45056" w:rsidRDefault="00835028" w:rsidP="00835028">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 tal senso dispone, da ultimo, anche l’art. 34, comma 25,</w:t>
      </w:r>
      <w:r w:rsidR="00084F39" w:rsidRPr="00A45056">
        <w:rPr>
          <w:rFonts w:ascii="Verdana" w:hAnsi="Verdana"/>
          <w:color w:val="000000" w:themeColor="text1"/>
          <w:sz w:val="20"/>
          <w:szCs w:val="20"/>
        </w:rPr>
        <w:t xml:space="preserve"> del D.L</w:t>
      </w:r>
      <w:r w:rsidRPr="00A45056">
        <w:rPr>
          <w:rFonts w:ascii="Verdana" w:hAnsi="Verdana"/>
          <w:color w:val="000000" w:themeColor="text1"/>
          <w:sz w:val="20"/>
          <w:szCs w:val="20"/>
        </w:rPr>
        <w:t xml:space="preserve"> n. 179/2012.</w:t>
      </w:r>
    </w:p>
    <w:p w:rsidR="001E3051" w:rsidRPr="00A45056" w:rsidRDefault="001E3051" w:rsidP="00835028">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u w:val="single"/>
        </w:rPr>
        <w:t>Ne c</w:t>
      </w:r>
      <w:r w:rsidR="007E6146" w:rsidRPr="00A45056">
        <w:rPr>
          <w:rFonts w:ascii="Verdana" w:hAnsi="Verdana"/>
          <w:color w:val="000000" w:themeColor="text1"/>
          <w:sz w:val="20"/>
          <w:szCs w:val="20"/>
          <w:u w:val="single"/>
        </w:rPr>
        <w:t xml:space="preserve">onsegue, in definitiva, </w:t>
      </w:r>
      <w:r w:rsidRPr="00A45056">
        <w:rPr>
          <w:rFonts w:ascii="Verdana" w:hAnsi="Verdana"/>
          <w:color w:val="000000" w:themeColor="text1"/>
          <w:sz w:val="20"/>
          <w:szCs w:val="20"/>
          <w:u w:val="single"/>
        </w:rPr>
        <w:t xml:space="preserve">che all’atto della costituzione del CISS e </w:t>
      </w:r>
      <w:r w:rsidR="00962091">
        <w:rPr>
          <w:rFonts w:ascii="Verdana" w:hAnsi="Verdana"/>
          <w:color w:val="000000" w:themeColor="text1"/>
          <w:sz w:val="20"/>
          <w:szCs w:val="20"/>
          <w:u w:val="single"/>
        </w:rPr>
        <w:t xml:space="preserve">della </w:t>
      </w:r>
      <w:r w:rsidR="003B4079">
        <w:rPr>
          <w:rFonts w:ascii="Verdana" w:hAnsi="Verdana"/>
          <w:color w:val="000000" w:themeColor="text1"/>
          <w:sz w:val="20"/>
          <w:szCs w:val="20"/>
          <w:u w:val="single"/>
        </w:rPr>
        <w:t>INCOFARMA</w:t>
      </w:r>
      <w:r w:rsidRPr="00A45056">
        <w:rPr>
          <w:rFonts w:ascii="Verdana" w:hAnsi="Verdana"/>
          <w:color w:val="000000" w:themeColor="text1"/>
          <w:sz w:val="20"/>
          <w:szCs w:val="20"/>
          <w:u w:val="single"/>
        </w:rPr>
        <w:t>, la disciplina di riferimento era quella dei servizi pubblici locali di rilevanza economica, fatta salva la normativa speciale di settore contemplata per l’attività farmaceutica dei comuni</w:t>
      </w:r>
      <w:r w:rsidR="005363F6" w:rsidRPr="00A45056">
        <w:rPr>
          <w:rFonts w:ascii="Verdana" w:hAnsi="Verdana"/>
          <w:color w:val="000000" w:themeColor="text1"/>
          <w:sz w:val="20"/>
          <w:szCs w:val="20"/>
          <w:u w:val="single"/>
        </w:rPr>
        <w:t xml:space="preserve"> e dei privati</w:t>
      </w:r>
      <w:r w:rsidRPr="00A45056">
        <w:rPr>
          <w:rFonts w:ascii="Verdana" w:hAnsi="Verdana"/>
          <w:color w:val="000000" w:themeColor="text1"/>
          <w:sz w:val="20"/>
          <w:szCs w:val="20"/>
        </w:rPr>
        <w:t xml:space="preserve">. </w:t>
      </w:r>
    </w:p>
    <w:p w:rsidR="00160D30" w:rsidRPr="00A45056" w:rsidRDefault="00EA4FD5" w:rsidP="00A1714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color w:val="000000" w:themeColor="text1"/>
          <w:sz w:val="20"/>
          <w:szCs w:val="20"/>
        </w:rPr>
        <w:t xml:space="preserve">3. </w:t>
      </w:r>
      <w:r w:rsidR="00075AF5" w:rsidRPr="00A45056">
        <w:rPr>
          <w:rFonts w:ascii="Verdana" w:hAnsi="Verdana"/>
          <w:color w:val="000000" w:themeColor="text1"/>
          <w:sz w:val="20"/>
          <w:szCs w:val="20"/>
        </w:rPr>
        <w:t>I tratti fondamentali d</w:t>
      </w:r>
      <w:r w:rsidR="00A17145" w:rsidRPr="00A45056">
        <w:rPr>
          <w:rFonts w:ascii="Verdana" w:hAnsi="Verdana"/>
          <w:color w:val="000000" w:themeColor="text1"/>
          <w:sz w:val="20"/>
          <w:szCs w:val="20"/>
        </w:rPr>
        <w:t xml:space="preserve">i tale </w:t>
      </w:r>
      <w:r w:rsidR="00075AF5" w:rsidRPr="00A45056">
        <w:rPr>
          <w:rFonts w:ascii="Verdana" w:hAnsi="Verdana"/>
          <w:color w:val="000000" w:themeColor="text1"/>
          <w:sz w:val="20"/>
          <w:szCs w:val="20"/>
        </w:rPr>
        <w:t>disciplina di settore sono</w:t>
      </w:r>
      <w:r w:rsidR="00A17145" w:rsidRPr="00A45056">
        <w:rPr>
          <w:rFonts w:ascii="Verdana" w:hAnsi="Verdana"/>
          <w:color w:val="000000" w:themeColor="text1"/>
          <w:sz w:val="20"/>
          <w:szCs w:val="20"/>
        </w:rPr>
        <w:t xml:space="preserve"> ancora oggi </w:t>
      </w:r>
      <w:r w:rsidR="00075AF5" w:rsidRPr="00A45056">
        <w:rPr>
          <w:rFonts w:ascii="Verdana" w:hAnsi="Verdana"/>
          <w:color w:val="000000" w:themeColor="text1"/>
          <w:sz w:val="20"/>
          <w:szCs w:val="20"/>
        </w:rPr>
        <w:t>contenuti</w:t>
      </w:r>
      <w:r w:rsidR="00A17145" w:rsidRPr="00A45056">
        <w:rPr>
          <w:rFonts w:ascii="Verdana" w:hAnsi="Verdana"/>
          <w:color w:val="000000" w:themeColor="text1"/>
          <w:sz w:val="20"/>
          <w:szCs w:val="20"/>
        </w:rPr>
        <w:t xml:space="preserve"> nella Legge n. 475/68, </w:t>
      </w:r>
      <w:r w:rsidR="00623C7D" w:rsidRPr="00A45056">
        <w:rPr>
          <w:rFonts w:ascii="Verdana" w:hAnsi="Verdana"/>
          <w:color w:val="000000" w:themeColor="text1"/>
          <w:sz w:val="20"/>
          <w:szCs w:val="20"/>
        </w:rPr>
        <w:t xml:space="preserve">meglio nota come Legge Mariotti. </w:t>
      </w:r>
      <w:r w:rsidR="00160D30" w:rsidRPr="00A45056">
        <w:rPr>
          <w:rFonts w:ascii="Verdana" w:hAnsi="Verdana"/>
          <w:color w:val="000000" w:themeColor="text1"/>
          <w:sz w:val="20"/>
          <w:szCs w:val="20"/>
        </w:rPr>
        <w:t xml:space="preserve">La legge Mariotti, nella versione vigente novellata dalla L. n. 362/1991, </w:t>
      </w:r>
      <w:r w:rsidR="00A17145" w:rsidRPr="00A45056">
        <w:rPr>
          <w:rFonts w:ascii="Verdana" w:hAnsi="Verdana"/>
          <w:color w:val="000000" w:themeColor="text1"/>
          <w:sz w:val="20"/>
          <w:szCs w:val="20"/>
        </w:rPr>
        <w:t>prevede l’attribuzione della titolarità della farmacia</w:t>
      </w:r>
      <w:r w:rsidR="00623C7D" w:rsidRPr="00A45056">
        <w:rPr>
          <w:rFonts w:ascii="Verdana" w:hAnsi="Verdana"/>
          <w:color w:val="000000" w:themeColor="text1"/>
          <w:sz w:val="20"/>
          <w:szCs w:val="20"/>
        </w:rPr>
        <w:t>, in primo luogo,</w:t>
      </w:r>
      <w:r w:rsidR="00A17145" w:rsidRPr="00A45056">
        <w:rPr>
          <w:rFonts w:ascii="Verdana" w:hAnsi="Verdana"/>
          <w:color w:val="000000" w:themeColor="text1"/>
          <w:sz w:val="20"/>
          <w:szCs w:val="20"/>
        </w:rPr>
        <w:t xml:space="preserve"> a privati dotati di particolari requisiti ovvero</w:t>
      </w:r>
      <w:r w:rsidR="00623C7D" w:rsidRPr="00A45056">
        <w:rPr>
          <w:rFonts w:ascii="Verdana" w:hAnsi="Verdana"/>
          <w:color w:val="000000" w:themeColor="text1"/>
          <w:sz w:val="20"/>
          <w:szCs w:val="20"/>
        </w:rPr>
        <w:t>, in secondo luogo e solo in caso di esercizio della prelazione,</w:t>
      </w:r>
      <w:r w:rsidR="00A17145" w:rsidRPr="00A45056">
        <w:rPr>
          <w:rFonts w:ascii="Verdana" w:hAnsi="Verdana"/>
          <w:color w:val="000000" w:themeColor="text1"/>
          <w:sz w:val="20"/>
          <w:szCs w:val="20"/>
        </w:rPr>
        <w:t xml:space="preserve"> ai comuni entro un limite massimo prefissato</w:t>
      </w:r>
      <w:r w:rsidR="00160D30" w:rsidRPr="00A45056">
        <w:rPr>
          <w:rFonts w:ascii="Verdana" w:hAnsi="Verdana"/>
          <w:color w:val="000000" w:themeColor="text1"/>
          <w:sz w:val="20"/>
          <w:szCs w:val="20"/>
        </w:rPr>
        <w:t>.</w:t>
      </w:r>
    </w:p>
    <w:p w:rsidR="009C7857" w:rsidRPr="00A45056" w:rsidRDefault="009C7857" w:rsidP="009C7857">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Secondo la dottrina, per titolarità si intende il “diritto di impianto ed esercizio” della sede.</w:t>
      </w:r>
    </w:p>
    <w:p w:rsidR="00623C7D" w:rsidRPr="00A45056" w:rsidRDefault="00160D30" w:rsidP="00C95B1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lastRenderedPageBreak/>
        <w:t>L</w:t>
      </w:r>
      <w:r w:rsidR="00A17145" w:rsidRPr="00A45056">
        <w:rPr>
          <w:rFonts w:ascii="Verdana" w:hAnsi="Verdana"/>
          <w:color w:val="000000" w:themeColor="text1"/>
          <w:sz w:val="20"/>
          <w:szCs w:val="20"/>
        </w:rPr>
        <w:t xml:space="preserve">’apertura di una farmacia </w:t>
      </w:r>
      <w:r w:rsidR="00FE5723" w:rsidRPr="00A45056">
        <w:rPr>
          <w:rFonts w:ascii="Verdana" w:hAnsi="Verdana"/>
          <w:color w:val="000000" w:themeColor="text1"/>
          <w:sz w:val="20"/>
          <w:szCs w:val="20"/>
        </w:rPr>
        <w:t xml:space="preserve">comunale </w:t>
      </w:r>
      <w:r w:rsidRPr="00A45056">
        <w:rPr>
          <w:rFonts w:ascii="Verdana" w:hAnsi="Verdana"/>
          <w:color w:val="000000" w:themeColor="text1"/>
          <w:sz w:val="20"/>
          <w:szCs w:val="20"/>
        </w:rPr>
        <w:t xml:space="preserve">è comunque subordinata </w:t>
      </w:r>
      <w:r w:rsidR="00A17145" w:rsidRPr="00A45056">
        <w:rPr>
          <w:rFonts w:ascii="Verdana" w:hAnsi="Verdana"/>
          <w:color w:val="000000" w:themeColor="text1"/>
          <w:sz w:val="20"/>
          <w:szCs w:val="20"/>
        </w:rPr>
        <w:t xml:space="preserve">ad </w:t>
      </w:r>
      <w:r w:rsidRPr="00A45056">
        <w:rPr>
          <w:rFonts w:ascii="Verdana" w:hAnsi="Verdana"/>
          <w:color w:val="000000" w:themeColor="text1"/>
          <w:sz w:val="20"/>
          <w:szCs w:val="20"/>
        </w:rPr>
        <w:t>un’</w:t>
      </w:r>
      <w:r w:rsidR="00A17145" w:rsidRPr="00A45056">
        <w:rPr>
          <w:rFonts w:ascii="Verdana" w:hAnsi="Verdana"/>
          <w:color w:val="000000" w:themeColor="text1"/>
          <w:sz w:val="20"/>
          <w:szCs w:val="20"/>
        </w:rPr>
        <w:t>autorizzazione amministrativa rilasciata con provvedimento definitivo a cura dell’autorità sanitaria competente per territorio (art. 1 comma 1</w:t>
      </w:r>
      <w:r w:rsidRPr="00A45056">
        <w:rPr>
          <w:rFonts w:ascii="Verdana" w:hAnsi="Verdana"/>
          <w:color w:val="000000" w:themeColor="text1"/>
          <w:sz w:val="20"/>
          <w:szCs w:val="20"/>
        </w:rPr>
        <w:t>, vale a dire la Regione</w:t>
      </w:r>
      <w:r w:rsidR="00C95B13" w:rsidRPr="00A45056">
        <w:rPr>
          <w:rFonts w:ascii="Verdana" w:hAnsi="Verdana"/>
          <w:color w:val="000000" w:themeColor="text1"/>
          <w:sz w:val="20"/>
          <w:szCs w:val="20"/>
        </w:rPr>
        <w:t>).</w:t>
      </w:r>
    </w:p>
    <w:p w:rsidR="00EA4FD5" w:rsidRPr="00A45056" w:rsidRDefault="00A330D0" w:rsidP="00A17145">
      <w:pPr>
        <w:shd w:val="clear" w:color="auto" w:fill="FEFFFF"/>
        <w:spacing w:line="360" w:lineRule="auto"/>
        <w:ind w:firstLine="354"/>
        <w:jc w:val="both"/>
        <w:rPr>
          <w:rFonts w:ascii="Verdana" w:hAnsi="Verdana"/>
          <w:b/>
          <w:color w:val="000000" w:themeColor="text1"/>
          <w:sz w:val="20"/>
          <w:szCs w:val="20"/>
        </w:rPr>
      </w:pPr>
      <w:r w:rsidRPr="00A45056">
        <w:rPr>
          <w:rFonts w:ascii="Verdana" w:hAnsi="Verdana"/>
          <w:color w:val="000000" w:themeColor="text1"/>
          <w:sz w:val="20"/>
          <w:szCs w:val="20"/>
        </w:rPr>
        <w:t>Da un punto di vista istituzionale</w:t>
      </w:r>
      <w:r w:rsidR="00EA4FD5" w:rsidRPr="00A45056">
        <w:rPr>
          <w:rFonts w:ascii="Verdana" w:hAnsi="Verdana"/>
          <w:color w:val="000000" w:themeColor="text1"/>
          <w:sz w:val="20"/>
          <w:szCs w:val="20"/>
        </w:rPr>
        <w:t>, le competenze o</w:t>
      </w:r>
      <w:r w:rsidRPr="00A45056">
        <w:rPr>
          <w:rFonts w:ascii="Verdana" w:hAnsi="Verdana"/>
          <w:color w:val="000000" w:themeColor="text1"/>
          <w:sz w:val="20"/>
          <w:szCs w:val="20"/>
        </w:rPr>
        <w:t>rganizzative</w:t>
      </w:r>
      <w:r w:rsidR="00EA4FD5" w:rsidRPr="00A45056">
        <w:rPr>
          <w:rFonts w:ascii="Verdana" w:hAnsi="Verdana"/>
          <w:color w:val="000000" w:themeColor="text1"/>
          <w:sz w:val="20"/>
          <w:szCs w:val="20"/>
        </w:rPr>
        <w:t xml:space="preserve"> del servizio sono così distribuite.</w:t>
      </w:r>
    </w:p>
    <w:p w:rsidR="0039068C" w:rsidRPr="00A45056" w:rsidRDefault="00C95B13" w:rsidP="0039068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C</w:t>
      </w:r>
      <w:r w:rsidR="0039068C" w:rsidRPr="00A45056">
        <w:rPr>
          <w:rFonts w:ascii="Verdana" w:hAnsi="Verdana"/>
          <w:color w:val="000000" w:themeColor="text1"/>
          <w:sz w:val="20"/>
          <w:szCs w:val="20"/>
        </w:rPr>
        <w:t xml:space="preserve">ome chiarito dalla Corte costituzionale con la sentenza n. 255/2013, il potere di programmazione del servizio sul territorio, spetta essenzialmente alla Regione; </w:t>
      </w:r>
      <w:r w:rsidR="004B7951" w:rsidRPr="00A45056">
        <w:rPr>
          <w:rFonts w:ascii="Verdana" w:hAnsi="Verdana"/>
          <w:color w:val="000000" w:themeColor="text1"/>
          <w:sz w:val="20"/>
          <w:szCs w:val="20"/>
        </w:rPr>
        <w:t>tanto premesso</w:t>
      </w:r>
      <w:r w:rsidR="0039068C" w:rsidRPr="00A45056">
        <w:rPr>
          <w:rFonts w:ascii="Verdana" w:hAnsi="Verdana"/>
          <w:color w:val="000000" w:themeColor="text1"/>
          <w:sz w:val="20"/>
          <w:szCs w:val="20"/>
        </w:rPr>
        <w:t>:</w:t>
      </w:r>
    </w:p>
    <w:p w:rsidR="0039068C" w:rsidRPr="00A45056" w:rsidRDefault="0039068C" w:rsidP="0039068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il potere di determinare ogni due anni il numero delle sedi farmaceutiche spettanti ai Comuni (art. 2, comma 2, della L. n. 475/1968, così come modificato dall’art. 11 della legge “Cresci Italia”) e, quindi, sia di istituirle che, eventualmente, di sopprimerle (ove divenute soprannumerarie), spetta alla Regione;</w:t>
      </w:r>
    </w:p>
    <w:p w:rsidR="0039068C" w:rsidRPr="00A45056" w:rsidRDefault="0039068C" w:rsidP="0039068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il potere di individuare le zone in cui collocare le nuove sedi istituite (art. 2 comma 1 della L. n. 475/1968, così come modificato dall’art. 11 della legge “cresci Italia”), deve essere esercitato dal Comune;</w:t>
      </w:r>
    </w:p>
    <w:p w:rsidR="0039068C" w:rsidRPr="00A45056" w:rsidRDefault="0039068C" w:rsidP="0039068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per contro, il potere di revisione della pianta organica (art. 5 della L. 362/1991), spetta alla Regione.</w:t>
      </w:r>
    </w:p>
    <w:p w:rsidR="0039068C" w:rsidRPr="00A45056" w:rsidRDefault="0039068C" w:rsidP="00BF57C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La Regione</w:t>
      </w:r>
      <w:r w:rsidR="00BF57C6" w:rsidRPr="00A45056">
        <w:rPr>
          <w:rFonts w:ascii="Verdana" w:hAnsi="Verdana"/>
          <w:color w:val="000000" w:themeColor="text1"/>
          <w:sz w:val="20"/>
          <w:szCs w:val="20"/>
        </w:rPr>
        <w:t xml:space="preserve"> mette a concorso – per titoli ed esami – le sedi vacant</w:t>
      </w:r>
      <w:r w:rsidR="002372D4" w:rsidRPr="00A45056">
        <w:rPr>
          <w:rFonts w:ascii="Verdana" w:hAnsi="Verdana"/>
          <w:color w:val="000000" w:themeColor="text1"/>
          <w:sz w:val="20"/>
          <w:szCs w:val="20"/>
        </w:rPr>
        <w:t>i o di nuova istituzione (art. 4</w:t>
      </w:r>
      <w:r w:rsidR="00BF57C6" w:rsidRPr="00A45056">
        <w:rPr>
          <w:rFonts w:ascii="Verdana" w:hAnsi="Verdana"/>
          <w:color w:val="000000" w:themeColor="text1"/>
          <w:sz w:val="20"/>
          <w:szCs w:val="20"/>
        </w:rPr>
        <w:t xml:space="preserve"> della L. n. 362/1991</w:t>
      </w:r>
      <w:r w:rsidR="008F1279" w:rsidRPr="00A45056">
        <w:rPr>
          <w:rFonts w:ascii="Verdana" w:hAnsi="Verdana"/>
          <w:color w:val="000000" w:themeColor="text1"/>
          <w:sz w:val="20"/>
          <w:szCs w:val="20"/>
        </w:rPr>
        <w:t xml:space="preserve"> e D.P.C.M. 30 marzo 1994, n. 298</w:t>
      </w:r>
      <w:r w:rsidR="00BF57C6" w:rsidRPr="00A45056">
        <w:rPr>
          <w:rFonts w:ascii="Verdana" w:hAnsi="Verdana"/>
          <w:color w:val="000000" w:themeColor="text1"/>
          <w:sz w:val="20"/>
          <w:szCs w:val="20"/>
        </w:rPr>
        <w:t>)</w:t>
      </w:r>
      <w:r w:rsidR="00962091">
        <w:rPr>
          <w:rFonts w:ascii="Verdana" w:hAnsi="Verdana"/>
          <w:color w:val="000000" w:themeColor="text1"/>
          <w:sz w:val="20"/>
          <w:szCs w:val="20"/>
        </w:rPr>
        <w:t xml:space="preserve"> e</w:t>
      </w:r>
      <w:r w:rsidRPr="00A45056">
        <w:rPr>
          <w:rFonts w:ascii="Verdana" w:hAnsi="Verdana"/>
          <w:color w:val="000000" w:themeColor="text1"/>
          <w:sz w:val="20"/>
          <w:szCs w:val="20"/>
        </w:rPr>
        <w:t xml:space="preserve"> rilascia infine l’autorizzazione ad aprire ed esercitare una farmacia (art. 1 L. n. 475/1968; art. 3 L. n. 362/1991; art. 22 della </w:t>
      </w:r>
      <w:proofErr w:type="spellStart"/>
      <w:r w:rsidRPr="00A45056">
        <w:rPr>
          <w:rFonts w:ascii="Verdana" w:hAnsi="Verdana"/>
          <w:color w:val="000000" w:themeColor="text1"/>
          <w:sz w:val="20"/>
          <w:szCs w:val="20"/>
        </w:rPr>
        <w:t>L.r</w:t>
      </w:r>
      <w:proofErr w:type="spellEnd"/>
      <w:r w:rsidRPr="00A45056">
        <w:rPr>
          <w:rFonts w:ascii="Verdana" w:hAnsi="Verdana"/>
          <w:color w:val="000000" w:themeColor="text1"/>
          <w:sz w:val="20"/>
          <w:szCs w:val="20"/>
        </w:rPr>
        <w:t xml:space="preserve">. Campania n. 13/1985, da ora innanzi “licenza”) </w:t>
      </w:r>
      <w:r w:rsidR="00962091">
        <w:rPr>
          <w:rFonts w:ascii="Verdana" w:hAnsi="Verdana"/>
          <w:color w:val="000000" w:themeColor="text1"/>
          <w:sz w:val="20"/>
          <w:szCs w:val="20"/>
        </w:rPr>
        <w:t>oltre a</w:t>
      </w:r>
      <w:r w:rsidR="00962091" w:rsidRPr="00A45056">
        <w:rPr>
          <w:rFonts w:ascii="Verdana" w:hAnsi="Verdana"/>
          <w:color w:val="000000" w:themeColor="text1"/>
          <w:sz w:val="20"/>
          <w:szCs w:val="20"/>
        </w:rPr>
        <w:t xml:space="preserve"> </w:t>
      </w:r>
      <w:r w:rsidRPr="00A45056">
        <w:rPr>
          <w:rFonts w:ascii="Verdana" w:hAnsi="Verdana"/>
          <w:color w:val="000000" w:themeColor="text1"/>
          <w:sz w:val="20"/>
          <w:szCs w:val="20"/>
        </w:rPr>
        <w:t>disciplina</w:t>
      </w:r>
      <w:r w:rsidR="00962091">
        <w:rPr>
          <w:rFonts w:ascii="Verdana" w:hAnsi="Verdana"/>
          <w:color w:val="000000" w:themeColor="text1"/>
          <w:sz w:val="20"/>
          <w:szCs w:val="20"/>
        </w:rPr>
        <w:t>re</w:t>
      </w:r>
      <w:r w:rsidRPr="00A45056">
        <w:rPr>
          <w:rFonts w:ascii="Verdana" w:hAnsi="Verdana"/>
          <w:color w:val="000000" w:themeColor="text1"/>
          <w:sz w:val="20"/>
          <w:szCs w:val="20"/>
        </w:rPr>
        <w:t xml:space="preserve"> l’articolazione temporale dell’attività (</w:t>
      </w:r>
      <w:proofErr w:type="spellStart"/>
      <w:r w:rsidRPr="00A45056">
        <w:rPr>
          <w:rFonts w:ascii="Verdana" w:hAnsi="Verdana"/>
          <w:color w:val="000000" w:themeColor="text1"/>
          <w:sz w:val="20"/>
          <w:szCs w:val="20"/>
        </w:rPr>
        <w:t>L.r</w:t>
      </w:r>
      <w:proofErr w:type="spellEnd"/>
      <w:r w:rsidRPr="00A45056">
        <w:rPr>
          <w:rFonts w:ascii="Verdana" w:hAnsi="Verdana"/>
          <w:color w:val="000000" w:themeColor="text1"/>
          <w:sz w:val="20"/>
          <w:szCs w:val="20"/>
        </w:rPr>
        <w:t>. Campania n. 1/2010).</w:t>
      </w:r>
    </w:p>
    <w:p w:rsidR="00BA63FF" w:rsidRPr="00A45056" w:rsidRDefault="003201F0" w:rsidP="000554D8">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color w:val="000000" w:themeColor="text1"/>
          <w:sz w:val="20"/>
          <w:szCs w:val="20"/>
        </w:rPr>
        <w:t>4.</w:t>
      </w:r>
      <w:r w:rsidRPr="00A45056">
        <w:rPr>
          <w:rFonts w:ascii="Verdana" w:hAnsi="Verdana"/>
          <w:color w:val="000000" w:themeColor="text1"/>
          <w:sz w:val="20"/>
          <w:szCs w:val="20"/>
        </w:rPr>
        <w:t xml:space="preserve"> </w:t>
      </w:r>
      <w:r w:rsidR="00BA63FF" w:rsidRPr="00A45056">
        <w:rPr>
          <w:rFonts w:ascii="Verdana" w:hAnsi="Verdana"/>
          <w:color w:val="000000" w:themeColor="text1"/>
          <w:sz w:val="20"/>
          <w:szCs w:val="20"/>
        </w:rPr>
        <w:t>In questo contesto</w:t>
      </w:r>
      <w:r w:rsidR="004E1836" w:rsidRPr="00A45056">
        <w:rPr>
          <w:rFonts w:ascii="Verdana" w:hAnsi="Verdana"/>
          <w:color w:val="000000" w:themeColor="text1"/>
          <w:sz w:val="20"/>
          <w:szCs w:val="20"/>
        </w:rPr>
        <w:t xml:space="preserve"> s</w:t>
      </w:r>
      <w:r w:rsidRPr="00A45056">
        <w:rPr>
          <w:rFonts w:ascii="Verdana" w:hAnsi="Verdana"/>
          <w:color w:val="000000" w:themeColor="text1"/>
          <w:sz w:val="20"/>
          <w:szCs w:val="20"/>
        </w:rPr>
        <w:t>i inserisc</w:t>
      </w:r>
      <w:r w:rsidR="000554D8" w:rsidRPr="00A45056">
        <w:rPr>
          <w:rFonts w:ascii="Verdana" w:hAnsi="Verdana"/>
          <w:color w:val="000000" w:themeColor="text1"/>
          <w:sz w:val="20"/>
          <w:szCs w:val="20"/>
        </w:rPr>
        <w:t xml:space="preserve">ono gli </w:t>
      </w:r>
      <w:r w:rsidRPr="00A45056">
        <w:rPr>
          <w:rFonts w:ascii="Verdana" w:hAnsi="Verdana"/>
          <w:color w:val="000000" w:themeColor="text1"/>
          <w:sz w:val="20"/>
          <w:szCs w:val="20"/>
        </w:rPr>
        <w:t>art</w:t>
      </w:r>
      <w:r w:rsidR="000554D8" w:rsidRPr="00A45056">
        <w:rPr>
          <w:rFonts w:ascii="Verdana" w:hAnsi="Verdana"/>
          <w:color w:val="000000" w:themeColor="text1"/>
          <w:sz w:val="20"/>
          <w:szCs w:val="20"/>
        </w:rPr>
        <w:t>t</w:t>
      </w:r>
      <w:r w:rsidRPr="00A45056">
        <w:rPr>
          <w:rFonts w:ascii="Verdana" w:hAnsi="Verdana"/>
          <w:color w:val="000000" w:themeColor="text1"/>
          <w:sz w:val="20"/>
          <w:szCs w:val="20"/>
        </w:rPr>
        <w:t>. 9</w:t>
      </w:r>
      <w:r w:rsidR="000554D8" w:rsidRPr="00A45056">
        <w:rPr>
          <w:rFonts w:ascii="Verdana" w:hAnsi="Verdana"/>
          <w:color w:val="000000" w:themeColor="text1"/>
          <w:sz w:val="20"/>
          <w:szCs w:val="20"/>
        </w:rPr>
        <w:t xml:space="preserve"> e 10</w:t>
      </w:r>
      <w:r w:rsidRPr="00A45056">
        <w:rPr>
          <w:rFonts w:ascii="Verdana" w:hAnsi="Verdana"/>
          <w:color w:val="000000" w:themeColor="text1"/>
          <w:sz w:val="20"/>
          <w:szCs w:val="20"/>
        </w:rPr>
        <w:t xml:space="preserve"> della Legge Mariotti, che contiene la disciplina della “prelazione” </w:t>
      </w:r>
      <w:r w:rsidR="00962091">
        <w:rPr>
          <w:rFonts w:ascii="Verdana" w:hAnsi="Verdana"/>
          <w:color w:val="000000" w:themeColor="text1"/>
          <w:sz w:val="20"/>
          <w:szCs w:val="20"/>
        </w:rPr>
        <w:t xml:space="preserve">che i comuni possono esercitare </w:t>
      </w:r>
      <w:r w:rsidR="000554D8" w:rsidRPr="00A45056">
        <w:rPr>
          <w:rFonts w:ascii="Verdana" w:hAnsi="Verdana"/>
          <w:color w:val="000000" w:themeColor="text1"/>
          <w:sz w:val="20"/>
          <w:szCs w:val="20"/>
        </w:rPr>
        <w:t>sulle sedi vacanti o di nuova ist</w:t>
      </w:r>
      <w:r w:rsidR="007C7C57" w:rsidRPr="00A45056">
        <w:rPr>
          <w:rFonts w:ascii="Verdana" w:hAnsi="Verdana"/>
          <w:color w:val="000000" w:themeColor="text1"/>
          <w:sz w:val="20"/>
          <w:szCs w:val="20"/>
        </w:rPr>
        <w:t>it</w:t>
      </w:r>
      <w:r w:rsidR="000554D8" w:rsidRPr="00A45056">
        <w:rPr>
          <w:rFonts w:ascii="Verdana" w:hAnsi="Verdana"/>
          <w:color w:val="000000" w:themeColor="text1"/>
          <w:sz w:val="20"/>
          <w:szCs w:val="20"/>
        </w:rPr>
        <w:t>uzione</w:t>
      </w:r>
      <w:r w:rsidR="009D3D40" w:rsidRPr="00A45056">
        <w:rPr>
          <w:rFonts w:ascii="Verdana" w:hAnsi="Verdana"/>
          <w:color w:val="000000" w:themeColor="text1"/>
          <w:sz w:val="20"/>
          <w:szCs w:val="20"/>
        </w:rPr>
        <w:t xml:space="preserve">, poste </w:t>
      </w:r>
      <w:r w:rsidR="000554D8" w:rsidRPr="00A45056">
        <w:rPr>
          <w:rFonts w:ascii="Verdana" w:hAnsi="Verdana"/>
          <w:color w:val="000000" w:themeColor="text1"/>
          <w:sz w:val="20"/>
          <w:szCs w:val="20"/>
        </w:rPr>
        <w:t>a bando dalla Regione</w:t>
      </w:r>
      <w:r w:rsidR="00855622" w:rsidRPr="00A45056">
        <w:rPr>
          <w:rFonts w:ascii="Verdana" w:hAnsi="Verdana"/>
          <w:color w:val="000000" w:themeColor="text1"/>
          <w:sz w:val="20"/>
          <w:szCs w:val="20"/>
        </w:rPr>
        <w:t xml:space="preserve">. </w:t>
      </w:r>
    </w:p>
    <w:p w:rsidR="00555ADB" w:rsidRPr="00A45056" w:rsidRDefault="00753880" w:rsidP="0039068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 punto di natura e contenuto di tale facoltà dei comuni, l</w:t>
      </w:r>
      <w:r w:rsidR="000554D8" w:rsidRPr="00A45056">
        <w:rPr>
          <w:rFonts w:ascii="Verdana" w:hAnsi="Verdana"/>
          <w:color w:val="000000" w:themeColor="text1"/>
          <w:sz w:val="20"/>
          <w:szCs w:val="20"/>
        </w:rPr>
        <w:t>a Corte di Cassazione</w:t>
      </w:r>
      <w:r w:rsidR="00F27991" w:rsidRPr="00A45056">
        <w:rPr>
          <w:rFonts w:ascii="Verdana" w:hAnsi="Verdana"/>
          <w:color w:val="000000" w:themeColor="text1"/>
          <w:sz w:val="20"/>
          <w:szCs w:val="20"/>
        </w:rPr>
        <w:t xml:space="preserve"> – come recentemente ricordato dal Consiglio di Stato nella sentenza, sez. V, n. 3686/2016 – </w:t>
      </w:r>
      <w:r w:rsidR="000554D8" w:rsidRPr="00A45056">
        <w:rPr>
          <w:rFonts w:ascii="Verdana" w:hAnsi="Verdana"/>
          <w:color w:val="000000" w:themeColor="text1"/>
          <w:sz w:val="20"/>
          <w:szCs w:val="20"/>
        </w:rPr>
        <w:t>ha chiarito che «</w:t>
      </w:r>
      <w:r w:rsidR="000554D8" w:rsidRPr="00A45056">
        <w:rPr>
          <w:rFonts w:ascii="Verdana" w:hAnsi="Verdana"/>
          <w:i/>
          <w:color w:val="000000" w:themeColor="text1"/>
          <w:sz w:val="20"/>
          <w:szCs w:val="20"/>
        </w:rPr>
        <w:t>la posizione di vantaggio, riconosciuta all'ente territoriale della legge 2 aprile 1968, n. 475 (art. 9 e 10 su sedi farmaceutiche vacanti o di nuova istituzione), ancorché venga qualificata dalla citata legge come diritto di prelazione, ha natura e consistenza di mero interesse legittimo</w:t>
      </w:r>
      <w:r w:rsidR="000554D8" w:rsidRPr="00A45056">
        <w:rPr>
          <w:rFonts w:ascii="Verdana" w:hAnsi="Verdana"/>
          <w:color w:val="000000" w:themeColor="text1"/>
          <w:sz w:val="20"/>
          <w:szCs w:val="20"/>
        </w:rPr>
        <w:t>», poiché «</w:t>
      </w:r>
      <w:r w:rsidR="000554D8" w:rsidRPr="00A45056">
        <w:rPr>
          <w:rFonts w:ascii="Verdana" w:hAnsi="Verdana"/>
          <w:i/>
          <w:color w:val="000000" w:themeColor="text1"/>
          <w:sz w:val="20"/>
          <w:szCs w:val="20"/>
        </w:rPr>
        <w:t>il diritto si inserisce nell'ambito dei provvedimenti amministrativi</w:t>
      </w:r>
      <w:r w:rsidR="000554D8" w:rsidRPr="00A45056">
        <w:rPr>
          <w:rFonts w:ascii="Verdana" w:hAnsi="Verdana"/>
          <w:color w:val="000000" w:themeColor="text1"/>
          <w:sz w:val="20"/>
          <w:szCs w:val="20"/>
        </w:rPr>
        <w:t xml:space="preserve"> </w:t>
      </w:r>
      <w:r w:rsidR="0080140E" w:rsidRPr="00A45056">
        <w:rPr>
          <w:rFonts w:ascii="Verdana" w:hAnsi="Verdana"/>
          <w:color w:val="000000" w:themeColor="text1"/>
          <w:sz w:val="20"/>
          <w:szCs w:val="20"/>
        </w:rPr>
        <w:t>[</w:t>
      </w:r>
      <w:r w:rsidR="000554D8" w:rsidRPr="00A45056">
        <w:rPr>
          <w:rFonts w:ascii="Verdana" w:hAnsi="Verdana"/>
          <w:color w:val="000000" w:themeColor="text1"/>
          <w:sz w:val="20"/>
          <w:szCs w:val="20"/>
        </w:rPr>
        <w:t>…</w:t>
      </w:r>
      <w:r w:rsidR="0080140E" w:rsidRPr="00A45056">
        <w:rPr>
          <w:rFonts w:ascii="Verdana" w:hAnsi="Verdana"/>
          <w:color w:val="000000" w:themeColor="text1"/>
          <w:sz w:val="20"/>
          <w:szCs w:val="20"/>
        </w:rPr>
        <w:t>]</w:t>
      </w:r>
      <w:r w:rsidR="000554D8" w:rsidRPr="00A45056">
        <w:rPr>
          <w:rFonts w:ascii="Verdana" w:hAnsi="Verdana"/>
          <w:color w:val="000000" w:themeColor="text1"/>
          <w:sz w:val="20"/>
          <w:szCs w:val="20"/>
        </w:rPr>
        <w:t xml:space="preserve"> </w:t>
      </w:r>
      <w:r w:rsidR="000554D8" w:rsidRPr="00A45056">
        <w:rPr>
          <w:rFonts w:ascii="Verdana" w:hAnsi="Verdana"/>
          <w:i/>
          <w:color w:val="000000" w:themeColor="text1"/>
          <w:sz w:val="20"/>
          <w:szCs w:val="20"/>
        </w:rPr>
        <w:t xml:space="preserve">circa l'individuazione delle sedi vacanti o delle nuove sedi di farmacie e l'acquisizione all’ente della sede in virtù della prelazione non esenta l’ente dal dover richiedere ed ottenere per poter aprire ed esercitare la farmacia l’autorizzazione della competente autorità, elementi questi che nonostante gli eventuali vincoli posti dalla legge a tutela di situazioni preferenziali dell’uno o dell’altro soggetto configurano espressioni di poteri autoritativi rivolti in via preminente al perseguimento di esigenze di ordine generale» </w:t>
      </w:r>
      <w:r w:rsidR="000554D8" w:rsidRPr="00A45056">
        <w:rPr>
          <w:rFonts w:ascii="Verdana" w:hAnsi="Verdana"/>
          <w:color w:val="000000" w:themeColor="text1"/>
          <w:sz w:val="20"/>
          <w:szCs w:val="20"/>
        </w:rPr>
        <w:t xml:space="preserve">(cfr. </w:t>
      </w:r>
      <w:proofErr w:type="spellStart"/>
      <w:r w:rsidR="000554D8" w:rsidRPr="00A45056">
        <w:rPr>
          <w:rFonts w:ascii="Verdana" w:hAnsi="Verdana"/>
          <w:color w:val="000000" w:themeColor="text1"/>
          <w:sz w:val="20"/>
          <w:szCs w:val="20"/>
        </w:rPr>
        <w:t>Cass</w:t>
      </w:r>
      <w:proofErr w:type="spellEnd"/>
      <w:r w:rsidR="000554D8" w:rsidRPr="00A45056">
        <w:rPr>
          <w:rFonts w:ascii="Verdana" w:hAnsi="Verdana"/>
          <w:color w:val="000000" w:themeColor="text1"/>
          <w:sz w:val="20"/>
          <w:szCs w:val="20"/>
        </w:rPr>
        <w:t xml:space="preserve">., SS.UU., 17.6.1988, n. 4132; </w:t>
      </w:r>
      <w:proofErr w:type="spellStart"/>
      <w:r w:rsidR="000554D8" w:rsidRPr="00A45056">
        <w:rPr>
          <w:rFonts w:ascii="Verdana" w:hAnsi="Verdana"/>
          <w:color w:val="000000" w:themeColor="text1"/>
          <w:sz w:val="20"/>
          <w:szCs w:val="20"/>
        </w:rPr>
        <w:t>Cass</w:t>
      </w:r>
      <w:proofErr w:type="spellEnd"/>
      <w:r w:rsidR="000554D8" w:rsidRPr="00A45056">
        <w:rPr>
          <w:rFonts w:ascii="Verdana" w:hAnsi="Verdana"/>
          <w:color w:val="000000" w:themeColor="text1"/>
          <w:sz w:val="20"/>
          <w:szCs w:val="20"/>
        </w:rPr>
        <w:t>., SS.UU., 19.2.1983, n. 1282)</w:t>
      </w:r>
      <w:r w:rsidR="00555ADB" w:rsidRPr="00A45056">
        <w:rPr>
          <w:rFonts w:ascii="Verdana" w:hAnsi="Verdana"/>
          <w:color w:val="000000" w:themeColor="text1"/>
          <w:sz w:val="20"/>
          <w:szCs w:val="20"/>
        </w:rPr>
        <w:t>.</w:t>
      </w:r>
    </w:p>
    <w:p w:rsidR="0016606A" w:rsidRPr="00A45056" w:rsidRDefault="00555ADB" w:rsidP="0080140E">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Si tratta di dunque di un interesse legittimo </w:t>
      </w:r>
      <w:r w:rsidR="001E0920" w:rsidRPr="00A45056">
        <w:rPr>
          <w:rFonts w:ascii="Verdana" w:hAnsi="Verdana"/>
          <w:color w:val="000000" w:themeColor="text1"/>
          <w:sz w:val="20"/>
          <w:szCs w:val="20"/>
        </w:rPr>
        <w:t xml:space="preserve">il cui oggetto </w:t>
      </w:r>
      <w:r w:rsidR="00753880" w:rsidRPr="00A45056">
        <w:rPr>
          <w:rFonts w:ascii="Verdana" w:hAnsi="Verdana"/>
          <w:color w:val="000000" w:themeColor="text1"/>
          <w:sz w:val="20"/>
          <w:szCs w:val="20"/>
        </w:rPr>
        <w:t>è la</w:t>
      </w:r>
      <w:r w:rsidRPr="00A45056">
        <w:rPr>
          <w:rFonts w:ascii="Verdana" w:hAnsi="Verdana"/>
          <w:color w:val="000000" w:themeColor="text1"/>
          <w:sz w:val="20"/>
          <w:szCs w:val="20"/>
        </w:rPr>
        <w:t xml:space="preserve"> preferenza che </w:t>
      </w:r>
      <w:r w:rsidR="00753880" w:rsidRPr="00A45056">
        <w:rPr>
          <w:rFonts w:ascii="Verdana" w:hAnsi="Verdana"/>
          <w:color w:val="000000" w:themeColor="text1"/>
          <w:sz w:val="20"/>
          <w:szCs w:val="20"/>
        </w:rPr>
        <w:t xml:space="preserve">deve </w:t>
      </w:r>
      <w:r w:rsidR="00DA7048" w:rsidRPr="00A45056">
        <w:rPr>
          <w:rFonts w:ascii="Verdana" w:hAnsi="Verdana"/>
          <w:color w:val="000000" w:themeColor="text1"/>
          <w:sz w:val="20"/>
          <w:szCs w:val="20"/>
        </w:rPr>
        <w:t>essere</w:t>
      </w:r>
      <w:r w:rsidR="00753880" w:rsidRPr="00A45056">
        <w:rPr>
          <w:rFonts w:ascii="Verdana" w:hAnsi="Verdana"/>
          <w:color w:val="000000" w:themeColor="text1"/>
          <w:sz w:val="20"/>
          <w:szCs w:val="20"/>
        </w:rPr>
        <w:t xml:space="preserve"> per legge </w:t>
      </w:r>
      <w:r w:rsidR="00DA7048" w:rsidRPr="00A45056">
        <w:rPr>
          <w:rFonts w:ascii="Verdana" w:hAnsi="Verdana"/>
          <w:color w:val="000000" w:themeColor="text1"/>
          <w:sz w:val="20"/>
          <w:szCs w:val="20"/>
        </w:rPr>
        <w:t>riconosciuta</w:t>
      </w:r>
      <w:r w:rsidR="00753880" w:rsidRPr="00A45056">
        <w:rPr>
          <w:rFonts w:ascii="Verdana" w:hAnsi="Verdana"/>
          <w:color w:val="000000" w:themeColor="text1"/>
          <w:sz w:val="20"/>
          <w:szCs w:val="20"/>
        </w:rPr>
        <w:t xml:space="preserve"> ai comuni nel conseguimento della “</w:t>
      </w:r>
      <w:r w:rsidR="00DA7048" w:rsidRPr="00A45056">
        <w:rPr>
          <w:rFonts w:ascii="Verdana" w:hAnsi="Verdana"/>
          <w:color w:val="000000" w:themeColor="text1"/>
          <w:sz w:val="20"/>
          <w:szCs w:val="20"/>
        </w:rPr>
        <w:t>titolarità</w:t>
      </w:r>
      <w:r w:rsidR="00753880" w:rsidRPr="00A45056">
        <w:rPr>
          <w:rFonts w:ascii="Verdana" w:hAnsi="Verdana"/>
          <w:color w:val="000000" w:themeColor="text1"/>
          <w:sz w:val="20"/>
          <w:szCs w:val="20"/>
        </w:rPr>
        <w:t>” delle farmacie</w:t>
      </w:r>
      <w:r w:rsidRPr="00A45056">
        <w:rPr>
          <w:rFonts w:ascii="Verdana" w:hAnsi="Verdana"/>
          <w:color w:val="000000" w:themeColor="text1"/>
          <w:sz w:val="20"/>
          <w:szCs w:val="20"/>
        </w:rPr>
        <w:t xml:space="preserve">, </w:t>
      </w:r>
      <w:r w:rsidR="00753880" w:rsidRPr="00A45056">
        <w:rPr>
          <w:rFonts w:ascii="Verdana" w:hAnsi="Verdana"/>
          <w:color w:val="000000" w:themeColor="text1"/>
          <w:sz w:val="20"/>
          <w:szCs w:val="20"/>
        </w:rPr>
        <w:t xml:space="preserve">preferenza </w:t>
      </w:r>
      <w:r w:rsidRPr="00A45056">
        <w:rPr>
          <w:rFonts w:ascii="Verdana" w:hAnsi="Verdana"/>
          <w:color w:val="000000" w:themeColor="text1"/>
          <w:sz w:val="20"/>
          <w:szCs w:val="20"/>
        </w:rPr>
        <w:lastRenderedPageBreak/>
        <w:t xml:space="preserve">in funzione </w:t>
      </w:r>
      <w:r w:rsidR="00365C5C" w:rsidRPr="00A45056">
        <w:rPr>
          <w:rFonts w:ascii="Verdana" w:hAnsi="Verdana"/>
          <w:color w:val="000000" w:themeColor="text1"/>
          <w:sz w:val="20"/>
          <w:szCs w:val="20"/>
        </w:rPr>
        <w:t>della quale</w:t>
      </w:r>
      <w:r w:rsidR="0016606A" w:rsidRPr="00A45056">
        <w:rPr>
          <w:rFonts w:ascii="Verdana" w:hAnsi="Verdana"/>
          <w:color w:val="000000" w:themeColor="text1"/>
          <w:sz w:val="20"/>
          <w:szCs w:val="20"/>
        </w:rPr>
        <w:t>, la legge disciplina espressamente le modalità di affidamento e gestione del servizio.</w:t>
      </w:r>
    </w:p>
    <w:p w:rsidR="0016606A" w:rsidRPr="00A45056" w:rsidRDefault="001E0920" w:rsidP="0016606A">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w:t>
      </w:r>
      <w:r w:rsidR="0016606A" w:rsidRPr="00A45056">
        <w:rPr>
          <w:rFonts w:ascii="Verdana" w:hAnsi="Verdana"/>
          <w:color w:val="000000" w:themeColor="text1"/>
          <w:sz w:val="20"/>
          <w:szCs w:val="20"/>
        </w:rPr>
        <w:t>’art. 9 della L. n. 475/1968</w:t>
      </w:r>
      <w:r w:rsidR="00962091">
        <w:rPr>
          <w:rFonts w:ascii="Verdana" w:hAnsi="Verdana"/>
          <w:color w:val="000000" w:themeColor="text1"/>
          <w:sz w:val="20"/>
          <w:szCs w:val="20"/>
        </w:rPr>
        <w:t xml:space="preserve">, </w:t>
      </w:r>
      <w:r w:rsidR="0016606A" w:rsidRPr="00A45056">
        <w:rPr>
          <w:rFonts w:ascii="Verdana" w:hAnsi="Verdana"/>
          <w:color w:val="000000" w:themeColor="text1"/>
          <w:sz w:val="20"/>
          <w:szCs w:val="20"/>
        </w:rPr>
        <w:t>nella riformulazione effettuata con la L. 8 novembre 1991, n. 362</w:t>
      </w:r>
      <w:r w:rsidR="00962091">
        <w:rPr>
          <w:rFonts w:ascii="Verdana" w:hAnsi="Verdana"/>
          <w:color w:val="000000" w:themeColor="text1"/>
          <w:sz w:val="20"/>
          <w:szCs w:val="20"/>
        </w:rPr>
        <w:t>,</w:t>
      </w:r>
      <w:r w:rsidR="00962091" w:rsidRPr="00A45056">
        <w:rPr>
          <w:rFonts w:ascii="Verdana" w:hAnsi="Verdana"/>
          <w:color w:val="000000" w:themeColor="text1"/>
          <w:sz w:val="20"/>
          <w:szCs w:val="20"/>
        </w:rPr>
        <w:t xml:space="preserve"> </w:t>
      </w:r>
      <w:r w:rsidR="00F9693E" w:rsidRPr="00A45056">
        <w:rPr>
          <w:rFonts w:ascii="Verdana" w:hAnsi="Verdana"/>
          <w:color w:val="000000" w:themeColor="text1"/>
          <w:sz w:val="20"/>
          <w:szCs w:val="20"/>
        </w:rPr>
        <w:t>contiene</w:t>
      </w:r>
      <w:r w:rsidR="0023656B"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in proposito </w:t>
      </w:r>
      <w:r w:rsidR="0023656B" w:rsidRPr="00A45056">
        <w:rPr>
          <w:rFonts w:ascii="Verdana" w:hAnsi="Verdana"/>
          <w:color w:val="000000" w:themeColor="text1"/>
          <w:sz w:val="20"/>
          <w:szCs w:val="20"/>
        </w:rPr>
        <w:t xml:space="preserve">un elenco </w:t>
      </w:r>
      <w:r w:rsidR="009252B6">
        <w:rPr>
          <w:rFonts w:ascii="Verdana" w:hAnsi="Verdana"/>
          <w:color w:val="000000" w:themeColor="text1"/>
          <w:sz w:val="20"/>
          <w:szCs w:val="20"/>
        </w:rPr>
        <w:t xml:space="preserve">solo </w:t>
      </w:r>
      <w:r w:rsidR="0023656B" w:rsidRPr="00A45056">
        <w:rPr>
          <w:rFonts w:ascii="Verdana" w:hAnsi="Verdana"/>
          <w:color w:val="000000" w:themeColor="text1"/>
          <w:sz w:val="20"/>
          <w:szCs w:val="20"/>
        </w:rPr>
        <w:t xml:space="preserve">in parte simile, </w:t>
      </w:r>
      <w:r w:rsidRPr="00A45056">
        <w:rPr>
          <w:rFonts w:ascii="Verdana" w:hAnsi="Verdana"/>
          <w:color w:val="000000" w:themeColor="text1"/>
          <w:sz w:val="20"/>
          <w:szCs w:val="20"/>
        </w:rPr>
        <w:t>a quello già contenuto nell’allora vigente L. n. 142/1990</w:t>
      </w:r>
      <w:r w:rsidR="00F9693E" w:rsidRPr="00A45056">
        <w:rPr>
          <w:rFonts w:ascii="Verdana" w:hAnsi="Verdana"/>
          <w:color w:val="000000" w:themeColor="text1"/>
          <w:sz w:val="20"/>
          <w:szCs w:val="20"/>
        </w:rPr>
        <w:t xml:space="preserve">. </w:t>
      </w:r>
      <w:r w:rsidR="004E242E" w:rsidRPr="00A45056">
        <w:rPr>
          <w:rFonts w:ascii="Verdana" w:hAnsi="Verdana"/>
          <w:color w:val="000000" w:themeColor="text1"/>
          <w:sz w:val="20"/>
          <w:szCs w:val="20"/>
        </w:rPr>
        <w:t>Segnatamente «</w:t>
      </w:r>
      <w:r w:rsidR="004E242E" w:rsidRPr="00A45056">
        <w:rPr>
          <w:rFonts w:ascii="Verdana" w:hAnsi="Verdana"/>
          <w:i/>
          <w:color w:val="000000" w:themeColor="text1"/>
          <w:sz w:val="20"/>
          <w:szCs w:val="20"/>
        </w:rPr>
        <w:t>La titolarità delle farmacie che si rendono vacanti e di quelle di nuova istituzione a seguito della revisione della pianta organica può essere assunta per la metà dal comune. Le farmacie di cui sono titolari i comuni possono essere gestite, ai sensi della legge 8 giugno 1990, n. 142, nelle seguenti form</w:t>
      </w:r>
      <w:r w:rsidR="004E242E" w:rsidRPr="00A45056">
        <w:rPr>
          <w:rFonts w:ascii="Verdana" w:hAnsi="Verdana"/>
          <w:color w:val="000000" w:themeColor="text1"/>
          <w:sz w:val="20"/>
          <w:szCs w:val="20"/>
        </w:rPr>
        <w:t>e</w:t>
      </w:r>
      <w:r w:rsidR="007071A9" w:rsidRPr="00A45056">
        <w:rPr>
          <w:rFonts w:ascii="Verdana" w:hAnsi="Verdana"/>
          <w:color w:val="000000" w:themeColor="text1"/>
          <w:sz w:val="20"/>
          <w:szCs w:val="20"/>
        </w:rPr>
        <w:t>:</w:t>
      </w:r>
      <w:r w:rsidR="0016606A" w:rsidRPr="00A45056">
        <w:rPr>
          <w:rFonts w:ascii="Verdana" w:hAnsi="Verdana"/>
          <w:color w:val="000000" w:themeColor="text1"/>
          <w:sz w:val="20"/>
          <w:szCs w:val="20"/>
        </w:rPr>
        <w:t xml:space="preserve"> </w:t>
      </w:r>
    </w:p>
    <w:p w:rsidR="0016606A" w:rsidRPr="00A45056" w:rsidRDefault="0016606A" w:rsidP="007071A9">
      <w:pPr>
        <w:shd w:val="clear" w:color="auto" w:fill="FEFFFF"/>
        <w:spacing w:line="360" w:lineRule="auto"/>
        <w:jc w:val="both"/>
        <w:rPr>
          <w:rFonts w:ascii="Verdana" w:hAnsi="Verdana"/>
          <w:i/>
          <w:color w:val="000000" w:themeColor="text1"/>
          <w:sz w:val="20"/>
          <w:szCs w:val="20"/>
        </w:rPr>
      </w:pPr>
      <w:r w:rsidRPr="00A45056">
        <w:rPr>
          <w:rFonts w:ascii="Verdana" w:hAnsi="Verdana"/>
          <w:i/>
          <w:color w:val="000000" w:themeColor="text1"/>
          <w:sz w:val="20"/>
          <w:szCs w:val="20"/>
        </w:rPr>
        <w:t>a) in economia;</w:t>
      </w:r>
    </w:p>
    <w:p w:rsidR="0016606A" w:rsidRPr="00A45056" w:rsidRDefault="0016606A" w:rsidP="007071A9">
      <w:pPr>
        <w:shd w:val="clear" w:color="auto" w:fill="FEFFFF"/>
        <w:spacing w:line="360" w:lineRule="auto"/>
        <w:jc w:val="both"/>
        <w:rPr>
          <w:rFonts w:ascii="Verdana" w:hAnsi="Verdana"/>
          <w:i/>
          <w:color w:val="000000" w:themeColor="text1"/>
          <w:sz w:val="20"/>
          <w:szCs w:val="20"/>
        </w:rPr>
      </w:pPr>
      <w:r w:rsidRPr="00A45056">
        <w:rPr>
          <w:rFonts w:ascii="Verdana" w:hAnsi="Verdana"/>
          <w:i/>
          <w:color w:val="000000" w:themeColor="text1"/>
          <w:sz w:val="20"/>
          <w:szCs w:val="20"/>
        </w:rPr>
        <w:t>b) a mezzo di azienda speciale;</w:t>
      </w:r>
    </w:p>
    <w:p w:rsidR="0016606A" w:rsidRPr="00A45056" w:rsidRDefault="0016606A" w:rsidP="007071A9">
      <w:pPr>
        <w:shd w:val="clear" w:color="auto" w:fill="FEFFFF"/>
        <w:spacing w:line="360" w:lineRule="auto"/>
        <w:jc w:val="both"/>
        <w:rPr>
          <w:rFonts w:ascii="Verdana" w:hAnsi="Verdana"/>
          <w:i/>
          <w:color w:val="000000" w:themeColor="text1"/>
          <w:sz w:val="20"/>
          <w:szCs w:val="20"/>
        </w:rPr>
      </w:pPr>
      <w:r w:rsidRPr="00A45056">
        <w:rPr>
          <w:rFonts w:ascii="Verdana" w:hAnsi="Verdana"/>
          <w:i/>
          <w:color w:val="000000" w:themeColor="text1"/>
          <w:sz w:val="20"/>
          <w:szCs w:val="20"/>
        </w:rPr>
        <w:t>c) a mezzo di consorzi tra comuni per la gestione delle farmacie di</w:t>
      </w:r>
      <w:r w:rsidR="00750725" w:rsidRPr="00A45056">
        <w:rPr>
          <w:rFonts w:ascii="Verdana" w:hAnsi="Verdana"/>
          <w:i/>
          <w:color w:val="000000" w:themeColor="text1"/>
          <w:sz w:val="20"/>
          <w:szCs w:val="20"/>
        </w:rPr>
        <w:t xml:space="preserve"> </w:t>
      </w:r>
      <w:r w:rsidRPr="00A45056">
        <w:rPr>
          <w:rFonts w:ascii="Verdana" w:hAnsi="Verdana"/>
          <w:i/>
          <w:color w:val="000000" w:themeColor="text1"/>
          <w:sz w:val="20"/>
          <w:szCs w:val="20"/>
        </w:rPr>
        <w:t>cui sono titolari;</w:t>
      </w:r>
    </w:p>
    <w:p w:rsidR="0016606A" w:rsidRPr="00A45056" w:rsidRDefault="0016606A" w:rsidP="007071A9">
      <w:pPr>
        <w:shd w:val="clear" w:color="auto" w:fill="FEFFFF"/>
        <w:spacing w:line="360" w:lineRule="auto"/>
        <w:jc w:val="both"/>
        <w:rPr>
          <w:rFonts w:ascii="Verdana" w:hAnsi="Verdana"/>
          <w:color w:val="000000" w:themeColor="text1"/>
          <w:sz w:val="20"/>
          <w:szCs w:val="20"/>
        </w:rPr>
      </w:pPr>
      <w:r w:rsidRPr="00A45056">
        <w:rPr>
          <w:rFonts w:ascii="Verdana" w:hAnsi="Verdana"/>
          <w:i/>
          <w:color w:val="000000" w:themeColor="text1"/>
          <w:sz w:val="20"/>
          <w:szCs w:val="20"/>
        </w:rPr>
        <w:t>d) a mezzo di società di capitali costituite tra il comune e i farmacisti che, al momento della costituzione della società, prestino servizio presso farmacie di cui il comune abbia la titolarità. All’atto della costituzione della società cessa di diritto il rapporto di lavoro dipendente tra il comune e gli anzidetti farmacisti</w:t>
      </w:r>
      <w:r w:rsidR="007071A9" w:rsidRPr="00A45056">
        <w:rPr>
          <w:rFonts w:ascii="Verdana" w:hAnsi="Verdana"/>
          <w:color w:val="000000" w:themeColor="text1"/>
          <w:sz w:val="20"/>
          <w:szCs w:val="20"/>
        </w:rPr>
        <w:t>»</w:t>
      </w:r>
      <w:r w:rsidR="006C0705">
        <w:rPr>
          <w:rFonts w:ascii="Verdana" w:hAnsi="Verdana"/>
          <w:color w:val="000000" w:themeColor="text1"/>
          <w:sz w:val="20"/>
          <w:szCs w:val="20"/>
        </w:rPr>
        <w:t>.</w:t>
      </w:r>
    </w:p>
    <w:p w:rsidR="0016606A" w:rsidRPr="00A45056" w:rsidRDefault="005F56C0" w:rsidP="0016606A">
      <w:pPr>
        <w:shd w:val="clear" w:color="auto" w:fill="FEFFFF"/>
        <w:spacing w:line="360" w:lineRule="auto"/>
        <w:ind w:firstLine="708"/>
        <w:jc w:val="both"/>
        <w:rPr>
          <w:rFonts w:ascii="Verdana" w:hAnsi="Verdana"/>
          <w:color w:val="000000" w:themeColor="text1"/>
          <w:sz w:val="20"/>
          <w:szCs w:val="20"/>
        </w:rPr>
      </w:pPr>
      <w:r>
        <w:rPr>
          <w:rFonts w:ascii="Verdana" w:hAnsi="Verdana"/>
          <w:color w:val="000000" w:themeColor="text1"/>
          <w:sz w:val="20"/>
          <w:szCs w:val="20"/>
        </w:rPr>
        <w:t>In definitiva, r</w:t>
      </w:r>
      <w:r w:rsidR="00F9693E" w:rsidRPr="00A45056">
        <w:rPr>
          <w:rFonts w:ascii="Verdana" w:hAnsi="Verdana"/>
          <w:color w:val="000000" w:themeColor="text1"/>
          <w:sz w:val="20"/>
          <w:szCs w:val="20"/>
        </w:rPr>
        <w:t>ispetto al modello previsto per gli altri servizi pubblici locali</w:t>
      </w:r>
      <w:r w:rsidR="00B418AD" w:rsidRPr="00A45056">
        <w:rPr>
          <w:rFonts w:ascii="Verdana" w:hAnsi="Verdana"/>
          <w:color w:val="000000" w:themeColor="text1"/>
          <w:sz w:val="20"/>
          <w:szCs w:val="20"/>
        </w:rPr>
        <w:t xml:space="preserve"> vigente</w:t>
      </w:r>
      <w:r w:rsidR="006056D7" w:rsidRPr="00A45056">
        <w:rPr>
          <w:rFonts w:ascii="Verdana" w:hAnsi="Verdana"/>
          <w:color w:val="000000" w:themeColor="text1"/>
          <w:sz w:val="20"/>
          <w:szCs w:val="20"/>
        </w:rPr>
        <w:t xml:space="preserve"> nel 1991 (L. n. 142/1990, cfr. § 1) e poi nel 2004</w:t>
      </w:r>
      <w:r w:rsidR="001D0C1E" w:rsidRPr="00A45056">
        <w:rPr>
          <w:rFonts w:ascii="Verdana" w:hAnsi="Verdana"/>
          <w:color w:val="000000" w:themeColor="text1"/>
          <w:sz w:val="20"/>
          <w:szCs w:val="20"/>
        </w:rPr>
        <w:t xml:space="preserve"> (</w:t>
      </w:r>
      <w:r w:rsidR="006056D7" w:rsidRPr="00A45056">
        <w:rPr>
          <w:rFonts w:ascii="Verdana" w:hAnsi="Verdana"/>
          <w:color w:val="000000" w:themeColor="text1"/>
          <w:sz w:val="20"/>
          <w:szCs w:val="20"/>
        </w:rPr>
        <w:t>art. 113 TUEL</w:t>
      </w:r>
      <w:r w:rsidR="001D0C1E" w:rsidRPr="00A45056">
        <w:rPr>
          <w:rFonts w:ascii="Verdana" w:hAnsi="Verdana"/>
          <w:color w:val="000000" w:themeColor="text1"/>
          <w:sz w:val="20"/>
          <w:szCs w:val="20"/>
        </w:rPr>
        <w:t>)</w:t>
      </w:r>
      <w:r w:rsidR="00F9693E" w:rsidRPr="00A45056">
        <w:rPr>
          <w:rFonts w:ascii="Verdana" w:hAnsi="Verdana"/>
          <w:color w:val="000000" w:themeColor="text1"/>
          <w:sz w:val="20"/>
          <w:szCs w:val="20"/>
        </w:rPr>
        <w:t>, l</w:t>
      </w:r>
      <w:r w:rsidR="0051300F" w:rsidRPr="00A45056">
        <w:rPr>
          <w:rFonts w:ascii="Verdana" w:hAnsi="Verdana"/>
          <w:color w:val="000000" w:themeColor="text1"/>
          <w:sz w:val="20"/>
          <w:szCs w:val="20"/>
        </w:rPr>
        <w:t>’</w:t>
      </w:r>
      <w:r w:rsidR="00F9693E" w:rsidRPr="00A45056">
        <w:rPr>
          <w:rFonts w:ascii="Verdana" w:hAnsi="Verdana"/>
          <w:color w:val="000000" w:themeColor="text1"/>
          <w:sz w:val="20"/>
          <w:szCs w:val="20"/>
        </w:rPr>
        <w:t>e</w:t>
      </w:r>
      <w:r w:rsidR="0051300F" w:rsidRPr="00A45056">
        <w:rPr>
          <w:rFonts w:ascii="Verdana" w:hAnsi="Verdana"/>
          <w:color w:val="000000" w:themeColor="text1"/>
          <w:sz w:val="20"/>
          <w:szCs w:val="20"/>
        </w:rPr>
        <w:t xml:space="preserve">lenco </w:t>
      </w:r>
      <w:r w:rsidR="006056D7" w:rsidRPr="00A45056">
        <w:rPr>
          <w:rFonts w:ascii="Verdana" w:hAnsi="Verdana"/>
          <w:color w:val="000000" w:themeColor="text1"/>
          <w:sz w:val="20"/>
          <w:szCs w:val="20"/>
        </w:rPr>
        <w:t xml:space="preserve">sopra riportato </w:t>
      </w:r>
      <w:r>
        <w:rPr>
          <w:rFonts w:ascii="Verdana" w:hAnsi="Verdana"/>
          <w:color w:val="000000" w:themeColor="text1"/>
          <w:sz w:val="20"/>
          <w:szCs w:val="20"/>
        </w:rPr>
        <w:t xml:space="preserve">si </w:t>
      </w:r>
      <w:r w:rsidR="006056D7" w:rsidRPr="00A45056">
        <w:rPr>
          <w:rFonts w:ascii="Verdana" w:hAnsi="Verdana"/>
          <w:color w:val="000000" w:themeColor="text1"/>
          <w:sz w:val="20"/>
          <w:szCs w:val="20"/>
        </w:rPr>
        <w:t xml:space="preserve">segnala </w:t>
      </w:r>
      <w:r>
        <w:rPr>
          <w:rFonts w:ascii="Verdana" w:hAnsi="Verdana"/>
          <w:color w:val="000000" w:themeColor="text1"/>
          <w:sz w:val="20"/>
          <w:szCs w:val="20"/>
        </w:rPr>
        <w:t xml:space="preserve">per </w:t>
      </w:r>
      <w:r w:rsidR="00F9693E" w:rsidRPr="00A45056">
        <w:rPr>
          <w:rFonts w:ascii="Verdana" w:hAnsi="Verdana"/>
          <w:color w:val="000000" w:themeColor="text1"/>
          <w:sz w:val="20"/>
          <w:szCs w:val="20"/>
        </w:rPr>
        <w:t>le seguenti differenze</w:t>
      </w:r>
      <w:r w:rsidR="0051300F" w:rsidRPr="00A45056">
        <w:rPr>
          <w:rFonts w:ascii="Verdana" w:hAnsi="Verdana"/>
          <w:color w:val="000000" w:themeColor="text1"/>
          <w:sz w:val="20"/>
          <w:szCs w:val="20"/>
        </w:rPr>
        <w:t>:</w:t>
      </w:r>
    </w:p>
    <w:p w:rsidR="004E74B8" w:rsidRPr="00A45056" w:rsidRDefault="0067350D" w:rsidP="004E74B8">
      <w:pPr>
        <w:numPr>
          <w:ilvl w:val="0"/>
          <w:numId w:val="46"/>
        </w:numPr>
        <w:shd w:val="clear" w:color="auto" w:fill="FEFFFF"/>
        <w:spacing w:line="360" w:lineRule="auto"/>
        <w:jc w:val="both"/>
        <w:rPr>
          <w:rFonts w:ascii="Verdana" w:hAnsi="Verdana"/>
          <w:color w:val="000000" w:themeColor="text1"/>
          <w:sz w:val="20"/>
          <w:szCs w:val="20"/>
        </w:rPr>
      </w:pPr>
      <w:proofErr w:type="gramStart"/>
      <w:r>
        <w:rPr>
          <w:rFonts w:ascii="Verdana" w:hAnsi="Verdana"/>
          <w:color w:val="000000" w:themeColor="text1"/>
          <w:sz w:val="20"/>
          <w:szCs w:val="20"/>
        </w:rPr>
        <w:t>è</w:t>
      </w:r>
      <w:proofErr w:type="gramEnd"/>
      <w:r w:rsidR="004E74B8" w:rsidRPr="00A45056">
        <w:rPr>
          <w:rFonts w:ascii="Verdana" w:hAnsi="Verdana"/>
          <w:color w:val="000000" w:themeColor="text1"/>
          <w:sz w:val="20"/>
          <w:szCs w:val="20"/>
        </w:rPr>
        <w:t xml:space="preserve"> ammessa una società a capitale </w:t>
      </w:r>
      <w:r w:rsidR="00924D42" w:rsidRPr="00A45056">
        <w:rPr>
          <w:rFonts w:ascii="Verdana" w:hAnsi="Verdana"/>
          <w:color w:val="000000" w:themeColor="text1"/>
          <w:sz w:val="20"/>
          <w:szCs w:val="20"/>
        </w:rPr>
        <w:t>pubblico</w:t>
      </w:r>
      <w:r w:rsidR="004E74B8" w:rsidRPr="00A45056">
        <w:rPr>
          <w:rFonts w:ascii="Verdana" w:hAnsi="Verdana"/>
          <w:color w:val="000000" w:themeColor="text1"/>
          <w:sz w:val="20"/>
          <w:szCs w:val="20"/>
        </w:rPr>
        <w:t xml:space="preserve"> prevalente</w:t>
      </w:r>
      <w:r w:rsidR="00924D42" w:rsidRPr="00A45056">
        <w:rPr>
          <w:rFonts w:ascii="Verdana" w:hAnsi="Verdana"/>
          <w:color w:val="000000" w:themeColor="text1"/>
          <w:sz w:val="20"/>
          <w:szCs w:val="20"/>
        </w:rPr>
        <w:t xml:space="preserve"> (attesa la disciplina generale parallelamente vigente)</w:t>
      </w:r>
      <w:r w:rsidR="004E74B8" w:rsidRPr="00A45056">
        <w:rPr>
          <w:rFonts w:ascii="Verdana" w:hAnsi="Verdana"/>
          <w:color w:val="000000" w:themeColor="text1"/>
          <w:sz w:val="20"/>
          <w:szCs w:val="20"/>
        </w:rPr>
        <w:t xml:space="preserve">, ma solo con “socio d’opera” particolare (i farmacisti già dipendenti comunali). </w:t>
      </w:r>
    </w:p>
    <w:p w:rsidR="004E74B8" w:rsidRPr="00A45056" w:rsidRDefault="004E74B8" w:rsidP="004E74B8">
      <w:pPr>
        <w:numPr>
          <w:ilvl w:val="0"/>
          <w:numId w:val="46"/>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È esclusa</w:t>
      </w:r>
      <w:r w:rsidR="00E40245" w:rsidRPr="00A45056">
        <w:rPr>
          <w:rFonts w:ascii="Verdana" w:hAnsi="Verdana"/>
          <w:color w:val="000000" w:themeColor="text1"/>
          <w:sz w:val="20"/>
          <w:szCs w:val="20"/>
        </w:rPr>
        <w:t xml:space="preserve"> l</w:t>
      </w:r>
      <w:proofErr w:type="gramStart"/>
      <w:r w:rsidR="00E40245" w:rsidRPr="00A45056">
        <w:rPr>
          <w:rFonts w:ascii="Verdana" w:hAnsi="Verdana"/>
          <w:color w:val="000000" w:themeColor="text1"/>
          <w:sz w:val="20"/>
          <w:szCs w:val="20"/>
        </w:rPr>
        <w:t>’“</w:t>
      </w:r>
      <w:proofErr w:type="gramEnd"/>
      <w:r w:rsidRPr="00A45056">
        <w:rPr>
          <w:rFonts w:ascii="Verdana" w:hAnsi="Verdana"/>
          <w:color w:val="000000" w:themeColor="text1"/>
          <w:sz w:val="20"/>
          <w:szCs w:val="20"/>
        </w:rPr>
        <w:t>istituzione</w:t>
      </w:r>
      <w:r w:rsidR="00E40245" w:rsidRPr="00A45056">
        <w:rPr>
          <w:rFonts w:ascii="Verdana" w:hAnsi="Verdana"/>
          <w:color w:val="000000" w:themeColor="text1"/>
          <w:sz w:val="20"/>
          <w:szCs w:val="20"/>
        </w:rPr>
        <w:t>”</w:t>
      </w:r>
      <w:r w:rsidRPr="00A45056">
        <w:rPr>
          <w:rFonts w:ascii="Verdana" w:hAnsi="Verdana"/>
          <w:color w:val="000000" w:themeColor="text1"/>
          <w:sz w:val="20"/>
          <w:szCs w:val="20"/>
        </w:rPr>
        <w:t xml:space="preserve"> come modulo di gestione delle farmacie comunali.</w:t>
      </w:r>
    </w:p>
    <w:p w:rsidR="00CC794F" w:rsidRPr="00A45056" w:rsidRDefault="0051300F" w:rsidP="0016606A">
      <w:pPr>
        <w:numPr>
          <w:ilvl w:val="0"/>
          <w:numId w:val="46"/>
        </w:numPr>
        <w:shd w:val="clear" w:color="auto" w:fill="FEFFFF"/>
        <w:spacing w:line="360" w:lineRule="auto"/>
        <w:jc w:val="both"/>
        <w:rPr>
          <w:rFonts w:ascii="Verdana" w:hAnsi="Verdana"/>
          <w:color w:val="000000" w:themeColor="text1"/>
          <w:sz w:val="20"/>
          <w:szCs w:val="20"/>
          <w:u w:val="single"/>
        </w:rPr>
      </w:pPr>
      <w:r w:rsidRPr="00A45056">
        <w:rPr>
          <w:rFonts w:ascii="Verdana" w:hAnsi="Verdana"/>
          <w:color w:val="000000" w:themeColor="text1"/>
          <w:sz w:val="20"/>
          <w:szCs w:val="20"/>
        </w:rPr>
        <w:t xml:space="preserve">È </w:t>
      </w:r>
      <w:r w:rsidR="0016606A" w:rsidRPr="00A45056">
        <w:rPr>
          <w:rFonts w:ascii="Verdana" w:hAnsi="Verdana"/>
          <w:color w:val="000000" w:themeColor="text1"/>
          <w:sz w:val="20"/>
          <w:szCs w:val="20"/>
        </w:rPr>
        <w:t>esclus</w:t>
      </w:r>
      <w:r w:rsidRPr="00A45056">
        <w:rPr>
          <w:rFonts w:ascii="Verdana" w:hAnsi="Verdana"/>
          <w:color w:val="000000" w:themeColor="text1"/>
          <w:sz w:val="20"/>
          <w:szCs w:val="20"/>
        </w:rPr>
        <w:t xml:space="preserve">a </w:t>
      </w:r>
      <w:r w:rsidR="0016606A" w:rsidRPr="00A45056">
        <w:rPr>
          <w:rFonts w:ascii="Verdana" w:hAnsi="Verdana"/>
          <w:color w:val="000000" w:themeColor="text1"/>
          <w:sz w:val="20"/>
          <w:szCs w:val="20"/>
        </w:rPr>
        <w:t xml:space="preserve">la concessione di servizi </w:t>
      </w:r>
      <w:r w:rsidRPr="00A45056">
        <w:rPr>
          <w:rFonts w:ascii="Verdana" w:hAnsi="Verdana"/>
          <w:color w:val="000000" w:themeColor="text1"/>
          <w:sz w:val="20"/>
          <w:szCs w:val="20"/>
        </w:rPr>
        <w:t>(ieri regolata dall’art. 30 del D.</w:t>
      </w:r>
      <w:r w:rsidR="0016606A" w:rsidRPr="00A45056">
        <w:rPr>
          <w:rFonts w:ascii="Verdana" w:hAnsi="Verdana"/>
          <w:color w:val="000000" w:themeColor="text1"/>
          <w:sz w:val="20"/>
          <w:szCs w:val="20"/>
        </w:rPr>
        <w:t>lgs. n. 163/2006,</w:t>
      </w:r>
      <w:r w:rsidRPr="00A45056">
        <w:rPr>
          <w:rFonts w:ascii="Verdana" w:hAnsi="Verdana"/>
          <w:color w:val="000000" w:themeColor="text1"/>
          <w:sz w:val="20"/>
          <w:szCs w:val="20"/>
        </w:rPr>
        <w:t xml:space="preserve"> oggi </w:t>
      </w:r>
      <w:r w:rsidR="00DC417A" w:rsidRPr="00A45056">
        <w:rPr>
          <w:rFonts w:ascii="Verdana" w:hAnsi="Verdana"/>
          <w:color w:val="000000" w:themeColor="text1"/>
          <w:sz w:val="20"/>
          <w:szCs w:val="20"/>
        </w:rPr>
        <w:t>dagli artt. 16</w:t>
      </w:r>
      <w:r w:rsidR="00E40245" w:rsidRPr="00A45056">
        <w:rPr>
          <w:rFonts w:ascii="Verdana" w:hAnsi="Verdana"/>
          <w:color w:val="000000" w:themeColor="text1"/>
          <w:sz w:val="20"/>
          <w:szCs w:val="20"/>
        </w:rPr>
        <w:t>4 e ss. del D.lgs. n. 50/2016)</w:t>
      </w:r>
      <w:r w:rsidR="0016606A" w:rsidRPr="00A45056">
        <w:rPr>
          <w:rFonts w:ascii="Verdana" w:hAnsi="Verdana"/>
          <w:color w:val="000000" w:themeColor="text1"/>
          <w:sz w:val="20"/>
          <w:szCs w:val="20"/>
        </w:rPr>
        <w:t xml:space="preserve">. </w:t>
      </w:r>
      <w:r w:rsidR="004F1BBF" w:rsidRPr="00A45056">
        <w:rPr>
          <w:rFonts w:ascii="Verdana" w:hAnsi="Verdana"/>
          <w:color w:val="000000" w:themeColor="text1"/>
          <w:sz w:val="20"/>
          <w:szCs w:val="20"/>
          <w:u w:val="single"/>
        </w:rPr>
        <w:t>L’esternalizzazione</w:t>
      </w:r>
      <w:r w:rsidR="00E40245" w:rsidRPr="00A45056">
        <w:rPr>
          <w:rFonts w:ascii="Verdana" w:hAnsi="Verdana"/>
          <w:color w:val="000000" w:themeColor="text1"/>
          <w:sz w:val="20"/>
          <w:szCs w:val="20"/>
          <w:u w:val="single"/>
        </w:rPr>
        <w:t xml:space="preserve"> del servizio, infatti,</w:t>
      </w:r>
      <w:r w:rsidR="004F1BBF" w:rsidRPr="00A45056">
        <w:rPr>
          <w:rFonts w:ascii="Verdana" w:hAnsi="Verdana"/>
          <w:color w:val="000000" w:themeColor="text1"/>
          <w:sz w:val="20"/>
          <w:szCs w:val="20"/>
          <w:u w:val="single"/>
        </w:rPr>
        <w:t xml:space="preserve"> </w:t>
      </w:r>
      <w:r w:rsidR="00E40245" w:rsidRPr="00A45056">
        <w:rPr>
          <w:rFonts w:ascii="Verdana" w:hAnsi="Verdana"/>
          <w:color w:val="000000" w:themeColor="text1"/>
          <w:sz w:val="20"/>
          <w:szCs w:val="20"/>
          <w:u w:val="single"/>
        </w:rPr>
        <w:t>si determina semplicemente mediante il non esercizio della prelazione, che per l’</w:t>
      </w:r>
      <w:r w:rsidR="00CC794F" w:rsidRPr="00A45056">
        <w:rPr>
          <w:rFonts w:ascii="Verdana" w:hAnsi="Verdana"/>
          <w:color w:val="000000" w:themeColor="text1"/>
          <w:sz w:val="20"/>
          <w:szCs w:val="20"/>
          <w:u w:val="single"/>
        </w:rPr>
        <w:t>effetto d</w:t>
      </w:r>
      <w:r w:rsidR="006C0705">
        <w:rPr>
          <w:rFonts w:ascii="Verdana" w:hAnsi="Verdana"/>
          <w:color w:val="000000" w:themeColor="text1"/>
          <w:sz w:val="20"/>
          <w:szCs w:val="20"/>
          <w:u w:val="single"/>
        </w:rPr>
        <w:t>e</w:t>
      </w:r>
      <w:r w:rsidR="00CC794F" w:rsidRPr="00A45056">
        <w:rPr>
          <w:rFonts w:ascii="Verdana" w:hAnsi="Verdana"/>
          <w:color w:val="000000" w:themeColor="text1"/>
          <w:sz w:val="20"/>
          <w:szCs w:val="20"/>
          <w:u w:val="single"/>
        </w:rPr>
        <w:t>terminerà</w:t>
      </w:r>
      <w:r w:rsidR="00E40245" w:rsidRPr="00A45056">
        <w:rPr>
          <w:rFonts w:ascii="Verdana" w:hAnsi="Verdana"/>
          <w:color w:val="000000" w:themeColor="text1"/>
          <w:sz w:val="20"/>
          <w:szCs w:val="20"/>
          <w:u w:val="single"/>
        </w:rPr>
        <w:t xml:space="preserve"> l’assegnazione della sede</w:t>
      </w:r>
      <w:r w:rsidR="00CC794F" w:rsidRPr="00A45056">
        <w:rPr>
          <w:rFonts w:ascii="Verdana" w:hAnsi="Verdana"/>
          <w:color w:val="000000" w:themeColor="text1"/>
          <w:sz w:val="20"/>
          <w:szCs w:val="20"/>
          <w:u w:val="single"/>
        </w:rPr>
        <w:t xml:space="preserve"> sul territorio a dei privati, sulla base di un concorso per titoli ed esami</w:t>
      </w:r>
      <w:r w:rsidR="002372D4" w:rsidRPr="00A45056">
        <w:rPr>
          <w:rFonts w:ascii="Verdana" w:hAnsi="Verdana"/>
          <w:color w:val="000000" w:themeColor="text1"/>
          <w:sz w:val="20"/>
          <w:szCs w:val="20"/>
          <w:u w:val="single"/>
        </w:rPr>
        <w:t xml:space="preserve"> (</w:t>
      </w:r>
      <w:r w:rsidR="00CC794F" w:rsidRPr="00A45056">
        <w:rPr>
          <w:rFonts w:ascii="Verdana" w:hAnsi="Verdana"/>
          <w:color w:val="000000" w:themeColor="text1"/>
          <w:sz w:val="20"/>
          <w:szCs w:val="20"/>
          <w:u w:val="single"/>
        </w:rPr>
        <w:t>cfr. l’</w:t>
      </w:r>
      <w:r w:rsidR="002372D4" w:rsidRPr="00A45056">
        <w:rPr>
          <w:rFonts w:ascii="Verdana" w:hAnsi="Verdana"/>
          <w:color w:val="000000" w:themeColor="text1"/>
          <w:sz w:val="20"/>
          <w:szCs w:val="20"/>
          <w:u w:val="single"/>
        </w:rPr>
        <w:t>art. 4</w:t>
      </w:r>
      <w:r w:rsidR="00BF57C6" w:rsidRPr="00A45056">
        <w:rPr>
          <w:rFonts w:ascii="Verdana" w:hAnsi="Verdana"/>
          <w:color w:val="000000" w:themeColor="text1"/>
          <w:sz w:val="20"/>
          <w:szCs w:val="20"/>
          <w:u w:val="single"/>
        </w:rPr>
        <w:t xml:space="preserve"> della L. n. 362/1991 che ha </w:t>
      </w:r>
      <w:r w:rsidR="00CC794F" w:rsidRPr="00A45056">
        <w:rPr>
          <w:rFonts w:ascii="Verdana" w:hAnsi="Verdana"/>
          <w:color w:val="000000" w:themeColor="text1"/>
          <w:sz w:val="20"/>
          <w:szCs w:val="20"/>
          <w:u w:val="single"/>
        </w:rPr>
        <w:t xml:space="preserve">sostituto </w:t>
      </w:r>
      <w:r w:rsidR="00BF57C6" w:rsidRPr="00A45056">
        <w:rPr>
          <w:rFonts w:ascii="Verdana" w:hAnsi="Verdana"/>
          <w:color w:val="000000" w:themeColor="text1"/>
          <w:sz w:val="20"/>
          <w:szCs w:val="20"/>
          <w:u w:val="single"/>
        </w:rPr>
        <w:t xml:space="preserve">il pregresso </w:t>
      </w:r>
      <w:r w:rsidR="002372D4" w:rsidRPr="00A45056">
        <w:rPr>
          <w:rFonts w:ascii="Verdana" w:hAnsi="Verdana"/>
          <w:color w:val="000000" w:themeColor="text1"/>
          <w:sz w:val="20"/>
          <w:szCs w:val="20"/>
          <w:u w:val="single"/>
        </w:rPr>
        <w:t>articolo 3 della Legge Mariotti)</w:t>
      </w:r>
      <w:r w:rsidR="00CC794F" w:rsidRPr="00A45056">
        <w:rPr>
          <w:rFonts w:ascii="Verdana" w:hAnsi="Verdana"/>
          <w:color w:val="000000" w:themeColor="text1"/>
          <w:sz w:val="20"/>
          <w:szCs w:val="20"/>
          <w:u w:val="single"/>
        </w:rPr>
        <w:t>.</w:t>
      </w:r>
    </w:p>
    <w:p w:rsidR="0016606A" w:rsidRPr="00A45056" w:rsidRDefault="006F07D7" w:rsidP="007A10CB">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Si rammenta, in proposito, che le farmacie private svolgono un’attività </w:t>
      </w:r>
      <w:r w:rsidR="004F1BBF" w:rsidRPr="00A45056">
        <w:rPr>
          <w:rFonts w:ascii="Verdana" w:hAnsi="Verdana"/>
          <w:color w:val="000000" w:themeColor="text1"/>
          <w:sz w:val="20"/>
          <w:szCs w:val="20"/>
        </w:rPr>
        <w:t>che rimane parte integrante del S</w:t>
      </w:r>
      <w:r w:rsidR="0016606A" w:rsidRPr="00A45056">
        <w:rPr>
          <w:rFonts w:ascii="Verdana" w:hAnsi="Verdana"/>
          <w:color w:val="000000" w:themeColor="text1"/>
          <w:sz w:val="20"/>
          <w:szCs w:val="20"/>
        </w:rPr>
        <w:t>ervizio</w:t>
      </w:r>
      <w:r w:rsidR="00DE69F9" w:rsidRPr="00A45056">
        <w:rPr>
          <w:rFonts w:ascii="Verdana" w:hAnsi="Verdana"/>
          <w:color w:val="000000" w:themeColor="text1"/>
          <w:sz w:val="20"/>
          <w:szCs w:val="20"/>
        </w:rPr>
        <w:t xml:space="preserve"> Sanitario Nazionale,</w:t>
      </w:r>
      <w:r w:rsidR="0016606A" w:rsidRPr="00A45056">
        <w:rPr>
          <w:rFonts w:ascii="Verdana" w:hAnsi="Verdana"/>
          <w:color w:val="000000" w:themeColor="text1"/>
          <w:sz w:val="20"/>
          <w:szCs w:val="20"/>
        </w:rPr>
        <w:t xml:space="preserve"> in ragione della loro capillarità e del loro obbligo di erogare i farmaci agli assistiti ed a chiunque intenda acquistarli e di non interrompere lo svolgimento del servizio soggetto ad ampi poteri di vigilanza e di controllo dell’Amministrazio</w:t>
      </w:r>
      <w:r w:rsidR="00F4202E" w:rsidRPr="00A45056">
        <w:rPr>
          <w:rFonts w:ascii="Verdana" w:hAnsi="Verdana"/>
          <w:color w:val="000000" w:themeColor="text1"/>
          <w:sz w:val="20"/>
          <w:szCs w:val="20"/>
        </w:rPr>
        <w:t>ne (Consiglio di</w:t>
      </w:r>
      <w:r w:rsidR="0016606A" w:rsidRPr="00A45056">
        <w:rPr>
          <w:rFonts w:ascii="Verdana" w:hAnsi="Verdana"/>
          <w:color w:val="000000" w:themeColor="text1"/>
          <w:sz w:val="20"/>
          <w:szCs w:val="20"/>
        </w:rPr>
        <w:t xml:space="preserve"> Stato, </w:t>
      </w:r>
      <w:r w:rsidR="00F4202E" w:rsidRPr="00A45056">
        <w:rPr>
          <w:rFonts w:ascii="Verdana" w:hAnsi="Verdana"/>
          <w:color w:val="000000" w:themeColor="text1"/>
          <w:sz w:val="20"/>
          <w:szCs w:val="20"/>
        </w:rPr>
        <w:t xml:space="preserve">sez. </w:t>
      </w:r>
      <w:r w:rsidR="0016606A" w:rsidRPr="00A45056">
        <w:rPr>
          <w:rFonts w:ascii="Verdana" w:hAnsi="Verdana"/>
          <w:color w:val="000000" w:themeColor="text1"/>
          <w:sz w:val="20"/>
          <w:szCs w:val="20"/>
        </w:rPr>
        <w:t xml:space="preserve">V, </w:t>
      </w:r>
      <w:r w:rsidR="00F4202E" w:rsidRPr="00A45056">
        <w:rPr>
          <w:rFonts w:ascii="Verdana" w:hAnsi="Verdana"/>
          <w:color w:val="000000" w:themeColor="text1"/>
          <w:sz w:val="20"/>
          <w:szCs w:val="20"/>
        </w:rPr>
        <w:t xml:space="preserve">sentenza 21 giugno </w:t>
      </w:r>
      <w:r w:rsidR="0016606A" w:rsidRPr="00A45056">
        <w:rPr>
          <w:rFonts w:ascii="Verdana" w:hAnsi="Verdana"/>
          <w:color w:val="000000" w:themeColor="text1"/>
          <w:sz w:val="20"/>
          <w:szCs w:val="20"/>
        </w:rPr>
        <w:t xml:space="preserve">2005, n. 3268, </w:t>
      </w:r>
      <w:r w:rsidR="00F4202E" w:rsidRPr="00A45056">
        <w:rPr>
          <w:rFonts w:ascii="Verdana" w:hAnsi="Verdana"/>
          <w:color w:val="000000" w:themeColor="text1"/>
          <w:sz w:val="20"/>
          <w:szCs w:val="20"/>
        </w:rPr>
        <w:t xml:space="preserve">nonché TAR Campania, Napoli, sez. </w:t>
      </w:r>
      <w:r w:rsidR="00FC7559" w:rsidRPr="00A45056">
        <w:rPr>
          <w:rFonts w:ascii="Verdana" w:hAnsi="Verdana"/>
          <w:color w:val="000000" w:themeColor="text1"/>
          <w:sz w:val="20"/>
          <w:szCs w:val="20"/>
        </w:rPr>
        <w:t>V,</w:t>
      </w:r>
      <w:r w:rsidR="0016606A" w:rsidRPr="00A45056">
        <w:rPr>
          <w:rFonts w:ascii="Verdana" w:hAnsi="Verdana"/>
          <w:color w:val="000000" w:themeColor="text1"/>
          <w:sz w:val="20"/>
          <w:szCs w:val="20"/>
        </w:rPr>
        <w:t xml:space="preserve"> </w:t>
      </w:r>
      <w:r w:rsidR="00FC7559" w:rsidRPr="00A45056">
        <w:rPr>
          <w:rFonts w:ascii="Verdana" w:hAnsi="Verdana"/>
          <w:color w:val="000000" w:themeColor="text1"/>
          <w:sz w:val="20"/>
          <w:szCs w:val="20"/>
        </w:rPr>
        <w:t xml:space="preserve">sentenza </w:t>
      </w:r>
      <w:r w:rsidR="00570461" w:rsidRPr="00A45056">
        <w:rPr>
          <w:rFonts w:ascii="Verdana" w:hAnsi="Verdana"/>
          <w:color w:val="000000" w:themeColor="text1"/>
          <w:sz w:val="20"/>
          <w:szCs w:val="20"/>
        </w:rPr>
        <w:t xml:space="preserve">10 ottobre 2008, </w:t>
      </w:r>
      <w:r w:rsidR="00FC7559" w:rsidRPr="00A45056">
        <w:rPr>
          <w:rFonts w:ascii="Verdana" w:hAnsi="Verdana"/>
          <w:color w:val="000000" w:themeColor="text1"/>
          <w:sz w:val="20"/>
          <w:szCs w:val="20"/>
        </w:rPr>
        <w:t xml:space="preserve">n. </w:t>
      </w:r>
      <w:r w:rsidR="0016606A" w:rsidRPr="00A45056">
        <w:rPr>
          <w:rFonts w:ascii="Verdana" w:hAnsi="Verdana"/>
          <w:color w:val="000000" w:themeColor="text1"/>
          <w:sz w:val="20"/>
          <w:szCs w:val="20"/>
        </w:rPr>
        <w:t xml:space="preserve">14697). </w:t>
      </w:r>
      <w:r w:rsidR="00E23903">
        <w:rPr>
          <w:rFonts w:ascii="Verdana" w:hAnsi="Verdana"/>
          <w:color w:val="000000" w:themeColor="text1"/>
          <w:sz w:val="20"/>
          <w:szCs w:val="20"/>
        </w:rPr>
        <w:t>I</w:t>
      </w:r>
      <w:r w:rsidR="00DE69F9" w:rsidRPr="00A45056">
        <w:rPr>
          <w:rFonts w:ascii="Verdana" w:hAnsi="Verdana"/>
          <w:color w:val="000000" w:themeColor="text1"/>
          <w:sz w:val="20"/>
          <w:szCs w:val="20"/>
        </w:rPr>
        <w:t xml:space="preserve">n questo contesto, </w:t>
      </w:r>
      <w:r w:rsidR="00E23903">
        <w:rPr>
          <w:rFonts w:ascii="Verdana" w:hAnsi="Verdana"/>
          <w:color w:val="000000" w:themeColor="text1"/>
          <w:sz w:val="20"/>
          <w:szCs w:val="20"/>
        </w:rPr>
        <w:t>è in</w:t>
      </w:r>
      <w:r w:rsidR="00DE69F9" w:rsidRPr="00A45056">
        <w:rPr>
          <w:rFonts w:ascii="Verdana" w:hAnsi="Verdana"/>
          <w:color w:val="000000" w:themeColor="text1"/>
          <w:sz w:val="20"/>
          <w:szCs w:val="20"/>
        </w:rPr>
        <w:t xml:space="preserve"> facoltà degli enti locali </w:t>
      </w:r>
      <w:r w:rsidR="007A10CB">
        <w:rPr>
          <w:rFonts w:ascii="Verdana" w:hAnsi="Verdana"/>
          <w:color w:val="000000" w:themeColor="text1"/>
          <w:sz w:val="20"/>
          <w:szCs w:val="20"/>
        </w:rPr>
        <w:t xml:space="preserve">– nel rispetto delle ordinarie procedure di legge – </w:t>
      </w:r>
      <w:r w:rsidR="00DE69F9" w:rsidRPr="00A45056">
        <w:rPr>
          <w:rFonts w:ascii="Verdana" w:hAnsi="Verdana"/>
          <w:color w:val="000000" w:themeColor="text1"/>
          <w:sz w:val="20"/>
          <w:szCs w:val="20"/>
        </w:rPr>
        <w:t>stipulare con tali farmacisti apposite convenzioni per prestazioni ancillari, accessorie e complementari al servizio farmaceutico di base, prevedendo ulteriori prestazioni di carattere socio-sanitario</w:t>
      </w:r>
      <w:r w:rsidR="002A54FA" w:rsidRPr="00A45056">
        <w:rPr>
          <w:rFonts w:ascii="Verdana" w:hAnsi="Verdana"/>
          <w:color w:val="000000" w:themeColor="text1"/>
          <w:sz w:val="20"/>
          <w:szCs w:val="20"/>
        </w:rPr>
        <w:t>.</w:t>
      </w:r>
    </w:p>
    <w:p w:rsidR="00824F29" w:rsidRPr="00A45056" w:rsidRDefault="009118D4" w:rsidP="00824F29">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Verdana" w:hAnsi="Verdana"/>
          <w:b/>
          <w:sz w:val="20"/>
          <w:szCs w:val="20"/>
        </w:rPr>
      </w:pPr>
      <w:r w:rsidRPr="00A45056">
        <w:rPr>
          <w:rFonts w:ascii="Verdana" w:hAnsi="Verdana"/>
          <w:b/>
          <w:sz w:val="20"/>
          <w:szCs w:val="20"/>
        </w:rPr>
        <w:t>1</w:t>
      </w:r>
      <w:r w:rsidR="00824F29" w:rsidRPr="00A45056">
        <w:rPr>
          <w:rFonts w:ascii="Verdana" w:hAnsi="Verdana"/>
          <w:b/>
          <w:sz w:val="20"/>
          <w:szCs w:val="20"/>
        </w:rPr>
        <w:t xml:space="preserve">) INAMMISSIBILITÀ </w:t>
      </w:r>
      <w:r w:rsidR="007E17CF" w:rsidRPr="00A45056">
        <w:rPr>
          <w:rFonts w:ascii="Verdana" w:hAnsi="Verdana"/>
          <w:b/>
          <w:sz w:val="20"/>
          <w:szCs w:val="20"/>
        </w:rPr>
        <w:t xml:space="preserve">ORIGINARIA </w:t>
      </w:r>
      <w:r w:rsidR="00824F29" w:rsidRPr="00A45056">
        <w:rPr>
          <w:rFonts w:ascii="Verdana" w:hAnsi="Verdana"/>
          <w:b/>
          <w:sz w:val="20"/>
          <w:szCs w:val="20"/>
        </w:rPr>
        <w:t>DELLA GESTIONE INDIRETTA ATTRAVERSO SOCIETA’ MISTE</w:t>
      </w:r>
      <w:r w:rsidR="00A819AB" w:rsidRPr="00A45056">
        <w:rPr>
          <w:rFonts w:ascii="Verdana" w:hAnsi="Verdana"/>
          <w:b/>
          <w:sz w:val="20"/>
          <w:szCs w:val="20"/>
        </w:rPr>
        <w:t xml:space="preserve"> CON PARTECIPAZIONE PUBBLICA DI MINORANZA</w:t>
      </w:r>
    </w:p>
    <w:p w:rsidR="00F47791" w:rsidRPr="00A45056" w:rsidRDefault="001D0C1E" w:rsidP="00F47791">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b/>
          <w:color w:val="000000" w:themeColor="text1"/>
          <w:sz w:val="20"/>
          <w:szCs w:val="20"/>
        </w:rPr>
        <w:lastRenderedPageBreak/>
        <w:t>5</w:t>
      </w:r>
      <w:r w:rsidR="001875A2" w:rsidRPr="00A45056">
        <w:rPr>
          <w:rFonts w:ascii="Verdana" w:hAnsi="Verdana"/>
          <w:b/>
          <w:color w:val="000000" w:themeColor="text1"/>
          <w:sz w:val="20"/>
          <w:szCs w:val="20"/>
        </w:rPr>
        <w:t>.</w:t>
      </w:r>
      <w:r w:rsidR="009118D4" w:rsidRPr="00A45056">
        <w:rPr>
          <w:rFonts w:ascii="Verdana" w:hAnsi="Verdana"/>
          <w:b/>
          <w:color w:val="000000" w:themeColor="text1"/>
          <w:sz w:val="20"/>
          <w:szCs w:val="20"/>
        </w:rPr>
        <w:t>1</w:t>
      </w:r>
      <w:r w:rsidR="00F63A96" w:rsidRPr="00A45056">
        <w:rPr>
          <w:rFonts w:ascii="Verdana" w:hAnsi="Verdana"/>
          <w:b/>
          <w:color w:val="000000" w:themeColor="text1"/>
          <w:sz w:val="20"/>
          <w:szCs w:val="20"/>
        </w:rPr>
        <w:t>.</w:t>
      </w:r>
      <w:r w:rsidR="00F63A96" w:rsidRPr="00A45056">
        <w:rPr>
          <w:rFonts w:ascii="Verdana" w:hAnsi="Verdana"/>
          <w:color w:val="000000" w:themeColor="text1"/>
          <w:sz w:val="20"/>
          <w:szCs w:val="20"/>
        </w:rPr>
        <w:t xml:space="preserve"> </w:t>
      </w:r>
      <w:r w:rsidR="00F47791" w:rsidRPr="00A45056">
        <w:rPr>
          <w:rFonts w:ascii="Verdana" w:hAnsi="Verdana"/>
          <w:color w:val="000000" w:themeColor="text1"/>
          <w:sz w:val="20"/>
          <w:szCs w:val="20"/>
        </w:rPr>
        <w:t>Tanto premesso</w:t>
      </w:r>
      <w:r w:rsidR="00970D93" w:rsidRPr="00A45056">
        <w:rPr>
          <w:rFonts w:ascii="Verdana" w:hAnsi="Verdana"/>
          <w:color w:val="000000" w:themeColor="text1"/>
          <w:sz w:val="20"/>
          <w:szCs w:val="20"/>
        </w:rPr>
        <w:t xml:space="preserve"> </w:t>
      </w:r>
      <w:r w:rsidR="008F1279" w:rsidRPr="00A45056">
        <w:rPr>
          <w:rFonts w:ascii="Verdana" w:hAnsi="Verdana"/>
          <w:color w:val="000000" w:themeColor="text1"/>
          <w:sz w:val="20"/>
          <w:szCs w:val="20"/>
        </w:rPr>
        <w:t xml:space="preserve">sul quadro normativo di riferimento, </w:t>
      </w:r>
      <w:r w:rsidR="00970D93" w:rsidRPr="00A45056">
        <w:rPr>
          <w:rFonts w:ascii="Verdana" w:hAnsi="Verdana"/>
          <w:color w:val="000000" w:themeColor="text1"/>
          <w:sz w:val="20"/>
          <w:szCs w:val="20"/>
        </w:rPr>
        <w:t xml:space="preserve">emergono, in particolare, due </w:t>
      </w:r>
      <w:r w:rsidR="005D7164" w:rsidRPr="00A45056">
        <w:rPr>
          <w:rFonts w:ascii="Verdana" w:hAnsi="Verdana"/>
          <w:color w:val="000000" w:themeColor="text1"/>
          <w:sz w:val="20"/>
          <w:szCs w:val="20"/>
        </w:rPr>
        <w:t xml:space="preserve">profili </w:t>
      </w:r>
      <w:r w:rsidR="00970D93" w:rsidRPr="00A45056">
        <w:rPr>
          <w:rFonts w:ascii="Verdana" w:hAnsi="Verdana"/>
          <w:color w:val="000000" w:themeColor="text1"/>
          <w:sz w:val="20"/>
          <w:szCs w:val="20"/>
        </w:rPr>
        <w:t xml:space="preserve">di criticità, il primo attinente all’ammissibilità stessa del modello di gestione delle farmacie comunali attraverso una società mista pubblico-privata a prevalente capitale privato; il secondo relativo all’affidamento diretto alla medesima società della gestione delle diverse sedi farmaceutiche di volta in volta </w:t>
      </w:r>
      <w:proofErr w:type="spellStart"/>
      <w:r w:rsidR="00970D93" w:rsidRPr="00A45056">
        <w:rPr>
          <w:rFonts w:ascii="Verdana" w:hAnsi="Verdana"/>
          <w:color w:val="000000" w:themeColor="text1"/>
          <w:sz w:val="20"/>
          <w:szCs w:val="20"/>
        </w:rPr>
        <w:t>prelazionate</w:t>
      </w:r>
      <w:proofErr w:type="spellEnd"/>
      <w:r w:rsidR="00970D93" w:rsidRPr="00A45056">
        <w:rPr>
          <w:rFonts w:ascii="Verdana" w:hAnsi="Verdana"/>
          <w:color w:val="000000" w:themeColor="text1"/>
          <w:sz w:val="20"/>
          <w:szCs w:val="20"/>
        </w:rPr>
        <w:t xml:space="preserve"> dai Comuni, realizzato attraverso la mera adesione di questi ultimi al Consorzio</w:t>
      </w:r>
      <w:r w:rsidR="00F47791" w:rsidRPr="00A45056">
        <w:rPr>
          <w:rFonts w:ascii="Verdana" w:hAnsi="Verdana"/>
          <w:color w:val="000000" w:themeColor="text1"/>
          <w:sz w:val="20"/>
          <w:szCs w:val="20"/>
        </w:rPr>
        <w:t xml:space="preserve">. </w:t>
      </w:r>
    </w:p>
    <w:p w:rsidR="00F63A96" w:rsidRPr="00A45056" w:rsidRDefault="00F63A96"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Quanto al primo profilo, la scelta, “a monte”, di esternalizzare la gestione delle farmacie comunali </w:t>
      </w:r>
      <w:proofErr w:type="spellStart"/>
      <w:r w:rsidRPr="00A45056">
        <w:rPr>
          <w:rFonts w:ascii="Verdana" w:hAnsi="Verdana"/>
          <w:color w:val="000000" w:themeColor="text1"/>
          <w:sz w:val="20"/>
          <w:szCs w:val="20"/>
        </w:rPr>
        <w:t>prelazionate</w:t>
      </w:r>
      <w:proofErr w:type="spellEnd"/>
      <w:r w:rsidRPr="00A45056">
        <w:rPr>
          <w:rFonts w:ascii="Verdana" w:hAnsi="Verdana"/>
          <w:color w:val="000000" w:themeColor="text1"/>
          <w:sz w:val="20"/>
          <w:szCs w:val="20"/>
        </w:rPr>
        <w:t xml:space="preserve"> dagli Enti aderenti al CISS non appare conforme al </w:t>
      </w:r>
      <w:r w:rsidR="0033719C" w:rsidRPr="00A45056">
        <w:rPr>
          <w:rFonts w:ascii="Verdana" w:hAnsi="Verdana"/>
          <w:color w:val="000000" w:themeColor="text1"/>
          <w:sz w:val="20"/>
          <w:szCs w:val="20"/>
        </w:rPr>
        <w:t xml:space="preserve">sopra riportato </w:t>
      </w:r>
      <w:r w:rsidRPr="00A45056">
        <w:rPr>
          <w:rFonts w:ascii="Verdana" w:hAnsi="Verdana"/>
          <w:color w:val="000000" w:themeColor="text1"/>
          <w:sz w:val="20"/>
          <w:szCs w:val="20"/>
        </w:rPr>
        <w:t xml:space="preserve">quadro normativo </w:t>
      </w:r>
      <w:r w:rsidR="00CC7A90" w:rsidRPr="00A45056">
        <w:rPr>
          <w:rFonts w:ascii="Verdana" w:hAnsi="Verdana"/>
          <w:color w:val="000000" w:themeColor="text1"/>
          <w:sz w:val="20"/>
          <w:szCs w:val="20"/>
        </w:rPr>
        <w:t xml:space="preserve">vigente al tempo della istituzione del CISS (2004) e di </w:t>
      </w:r>
      <w:r w:rsidR="003B4079">
        <w:rPr>
          <w:rFonts w:ascii="Verdana" w:hAnsi="Verdana"/>
          <w:color w:val="000000" w:themeColor="text1"/>
          <w:sz w:val="20"/>
          <w:szCs w:val="20"/>
        </w:rPr>
        <w:t>INCOFARMA</w:t>
      </w:r>
      <w:r w:rsidR="00CC7A90" w:rsidRPr="00A45056">
        <w:rPr>
          <w:rFonts w:ascii="Verdana" w:hAnsi="Verdana"/>
          <w:color w:val="000000" w:themeColor="text1"/>
          <w:sz w:val="20"/>
          <w:szCs w:val="20"/>
        </w:rPr>
        <w:t xml:space="preserve"> (2005)</w:t>
      </w:r>
      <w:r w:rsidR="00AB19EB">
        <w:rPr>
          <w:rFonts w:ascii="Verdana" w:hAnsi="Verdana"/>
          <w:color w:val="000000" w:themeColor="text1"/>
          <w:sz w:val="20"/>
          <w:szCs w:val="20"/>
        </w:rPr>
        <w:t xml:space="preserve"> in materia di</w:t>
      </w:r>
      <w:r w:rsidRPr="00A45056">
        <w:rPr>
          <w:rFonts w:ascii="Verdana" w:hAnsi="Verdana"/>
          <w:color w:val="000000" w:themeColor="text1"/>
          <w:sz w:val="20"/>
          <w:szCs w:val="20"/>
        </w:rPr>
        <w:t xml:space="preserve"> </w:t>
      </w:r>
      <w:r w:rsidR="0033719C" w:rsidRPr="00A45056">
        <w:rPr>
          <w:rFonts w:ascii="Verdana" w:hAnsi="Verdana"/>
          <w:color w:val="000000" w:themeColor="text1"/>
          <w:sz w:val="20"/>
          <w:szCs w:val="20"/>
        </w:rPr>
        <w:t>titolarità e</w:t>
      </w:r>
      <w:r w:rsidR="00AB19EB">
        <w:rPr>
          <w:rFonts w:ascii="Verdana" w:hAnsi="Verdana"/>
          <w:color w:val="000000" w:themeColor="text1"/>
          <w:sz w:val="20"/>
          <w:szCs w:val="20"/>
        </w:rPr>
        <w:t>d</w:t>
      </w:r>
      <w:r w:rsidR="0033719C"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esercizio del servizio farmaceutico. </w:t>
      </w:r>
    </w:p>
    <w:p w:rsidR="001E28DC" w:rsidRPr="00A45056" w:rsidRDefault="00F63A96"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Com’è </w:t>
      </w:r>
      <w:r w:rsidR="00AB19EB">
        <w:rPr>
          <w:rFonts w:ascii="Verdana" w:hAnsi="Verdana"/>
          <w:color w:val="000000" w:themeColor="text1"/>
          <w:sz w:val="20"/>
          <w:szCs w:val="20"/>
        </w:rPr>
        <w:t xml:space="preserve">stato </w:t>
      </w:r>
      <w:r w:rsidR="00350F45" w:rsidRPr="00A45056">
        <w:rPr>
          <w:rFonts w:ascii="Verdana" w:hAnsi="Verdana"/>
          <w:color w:val="000000" w:themeColor="text1"/>
          <w:sz w:val="20"/>
          <w:szCs w:val="20"/>
        </w:rPr>
        <w:t>sopra evidenziato</w:t>
      </w:r>
      <w:r w:rsidRPr="00A45056">
        <w:rPr>
          <w:rFonts w:ascii="Verdana" w:hAnsi="Verdana"/>
          <w:color w:val="000000" w:themeColor="text1"/>
          <w:sz w:val="20"/>
          <w:szCs w:val="20"/>
        </w:rPr>
        <w:t xml:space="preserve">, sul settore farmaceutico insiste una regolamentazione pubblicistica particolarmente pervasiva, che abbraccia anche le forme di gestione delle farmacie comunali, e che trova la propria ragion d’essere proprio nella primarietà del diritto alla salute che l’attività di distribuzione e vendita dei farmaci è deputata a soddisfare. </w:t>
      </w:r>
    </w:p>
    <w:p w:rsidR="00F63A96" w:rsidRPr="00A45056" w:rsidRDefault="001E28DC"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La sussistenza di una legislazione speciale sistematicamente “fatta salva”</w:t>
      </w:r>
      <w:r w:rsidR="00A722A0" w:rsidRPr="00A45056">
        <w:rPr>
          <w:rFonts w:ascii="Verdana" w:hAnsi="Verdana"/>
          <w:color w:val="000000" w:themeColor="text1"/>
          <w:sz w:val="20"/>
          <w:szCs w:val="20"/>
        </w:rPr>
        <w:t xml:space="preserve"> dal legislatore quando </w:t>
      </w:r>
      <w:r w:rsidRPr="00A45056">
        <w:rPr>
          <w:rFonts w:ascii="Verdana" w:hAnsi="Verdana"/>
          <w:color w:val="000000" w:themeColor="text1"/>
          <w:sz w:val="20"/>
          <w:szCs w:val="20"/>
        </w:rPr>
        <w:t xml:space="preserve">ha dettato la </w:t>
      </w:r>
      <w:r w:rsidR="00A722A0" w:rsidRPr="00A45056">
        <w:rPr>
          <w:rFonts w:ascii="Verdana" w:hAnsi="Verdana"/>
          <w:color w:val="000000" w:themeColor="text1"/>
          <w:sz w:val="20"/>
          <w:szCs w:val="20"/>
        </w:rPr>
        <w:t>disciplina</w:t>
      </w:r>
      <w:r w:rsidRPr="00A45056">
        <w:rPr>
          <w:rFonts w:ascii="Verdana" w:hAnsi="Verdana"/>
          <w:color w:val="000000" w:themeColor="text1"/>
          <w:sz w:val="20"/>
          <w:szCs w:val="20"/>
        </w:rPr>
        <w:t xml:space="preserve"> generale dei servizi pubblici locali e l’esigenza di tutelare la concorrenza</w:t>
      </w:r>
      <w:r w:rsidR="00A722A0" w:rsidRPr="00A45056">
        <w:rPr>
          <w:rFonts w:ascii="Verdana" w:hAnsi="Verdana"/>
          <w:color w:val="000000" w:themeColor="text1"/>
          <w:sz w:val="20"/>
          <w:szCs w:val="20"/>
        </w:rPr>
        <w:t xml:space="preserve"> (in chiave sia comunitaria che interna)</w:t>
      </w:r>
      <w:r w:rsidRPr="00A45056">
        <w:rPr>
          <w:rFonts w:ascii="Verdana" w:hAnsi="Verdana"/>
          <w:color w:val="000000" w:themeColor="text1"/>
          <w:sz w:val="20"/>
          <w:szCs w:val="20"/>
        </w:rPr>
        <w:t>, favorendo l’accesso dei privati alla titolarità delle farmacie</w:t>
      </w:r>
      <w:r w:rsidR="00AB19EB">
        <w:rPr>
          <w:rFonts w:ascii="Verdana" w:hAnsi="Verdana"/>
          <w:color w:val="000000" w:themeColor="text1"/>
          <w:sz w:val="20"/>
          <w:szCs w:val="20"/>
        </w:rPr>
        <w:t>,</w:t>
      </w:r>
      <w:r w:rsidRPr="00A45056">
        <w:rPr>
          <w:rFonts w:ascii="Verdana" w:hAnsi="Verdana"/>
          <w:color w:val="000000" w:themeColor="text1"/>
          <w:sz w:val="20"/>
          <w:szCs w:val="20"/>
        </w:rPr>
        <w:t xml:space="preserve"> </w:t>
      </w:r>
      <w:r w:rsidR="00A722A0" w:rsidRPr="00A45056">
        <w:rPr>
          <w:rFonts w:ascii="Verdana" w:hAnsi="Verdana"/>
          <w:color w:val="000000" w:themeColor="text1"/>
          <w:sz w:val="20"/>
          <w:szCs w:val="20"/>
        </w:rPr>
        <w:t>porterebbe ad escludere la possibilità di costituire società miste a capitale privato prevalente nel settore farmaceutico</w:t>
      </w:r>
      <w:r w:rsidR="005B3CBA" w:rsidRPr="00A45056">
        <w:rPr>
          <w:rFonts w:ascii="Verdana" w:hAnsi="Verdana"/>
          <w:color w:val="000000" w:themeColor="text1"/>
          <w:sz w:val="20"/>
          <w:szCs w:val="20"/>
        </w:rPr>
        <w:t>.</w:t>
      </w:r>
    </w:p>
    <w:p w:rsidR="005B3CBA" w:rsidRPr="00A45056" w:rsidRDefault="005B3CBA"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Infatti, al tempo della costituzione dei due soggetti</w:t>
      </w:r>
      <w:r w:rsidR="007642A0">
        <w:rPr>
          <w:rFonts w:ascii="Verdana" w:hAnsi="Verdana"/>
          <w:color w:val="000000" w:themeColor="text1"/>
          <w:sz w:val="20"/>
          <w:szCs w:val="20"/>
        </w:rPr>
        <w:t>,</w:t>
      </w:r>
      <w:r w:rsidRPr="00A45056">
        <w:rPr>
          <w:rFonts w:ascii="Verdana" w:hAnsi="Verdana"/>
          <w:color w:val="000000" w:themeColor="text1"/>
          <w:sz w:val="20"/>
          <w:szCs w:val="20"/>
        </w:rPr>
        <w:t xml:space="preserve"> vigeva l’art. 113 TUEL, il quale costituiva disciplina generale derogata dalla legge speciale Mariotti che non contempla la società mista a capitale privato prevalente.</w:t>
      </w:r>
    </w:p>
    <w:p w:rsidR="005B3CBA" w:rsidRPr="00A45056" w:rsidRDefault="005B3CBA"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La possibilità di costituire una siffatta società era ed è per contro prevista dall’art. 116 TUEL, per i servi</w:t>
      </w:r>
      <w:r w:rsidR="00355526">
        <w:rPr>
          <w:rFonts w:ascii="Verdana" w:hAnsi="Verdana"/>
          <w:color w:val="000000" w:themeColor="text1"/>
          <w:sz w:val="20"/>
          <w:szCs w:val="20"/>
        </w:rPr>
        <w:t>z</w:t>
      </w:r>
      <w:r w:rsidRPr="00A45056">
        <w:rPr>
          <w:rFonts w:ascii="Verdana" w:hAnsi="Verdana"/>
          <w:color w:val="000000" w:themeColor="text1"/>
          <w:sz w:val="20"/>
          <w:szCs w:val="20"/>
        </w:rPr>
        <w:t>i pubblici locali privi di rilevanza economica</w:t>
      </w:r>
      <w:r w:rsidR="00F209DB" w:rsidRPr="00A45056">
        <w:rPr>
          <w:rFonts w:ascii="Verdana" w:hAnsi="Verdana"/>
          <w:color w:val="000000" w:themeColor="text1"/>
          <w:sz w:val="20"/>
          <w:szCs w:val="20"/>
        </w:rPr>
        <w:t>.</w:t>
      </w:r>
    </w:p>
    <w:p w:rsidR="00F17011" w:rsidRPr="00A45056" w:rsidRDefault="00CA4F50"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Ad avviso del CISS e dei comuni sottoposti a controllo, </w:t>
      </w:r>
      <w:r w:rsidR="00BB5828" w:rsidRPr="00A45056">
        <w:rPr>
          <w:rFonts w:ascii="Verdana" w:hAnsi="Verdana"/>
          <w:color w:val="000000" w:themeColor="text1"/>
          <w:sz w:val="20"/>
          <w:szCs w:val="20"/>
        </w:rPr>
        <w:t xml:space="preserve">per contro, </w:t>
      </w:r>
      <w:r w:rsidRPr="00A45056">
        <w:rPr>
          <w:rFonts w:ascii="Verdana" w:hAnsi="Verdana"/>
          <w:color w:val="000000" w:themeColor="text1"/>
          <w:sz w:val="20"/>
          <w:szCs w:val="20"/>
        </w:rPr>
        <w:t>la disciplina della legge Mariotti</w:t>
      </w:r>
      <w:r w:rsidR="00F17011" w:rsidRPr="00A45056">
        <w:rPr>
          <w:rFonts w:ascii="Verdana" w:hAnsi="Verdana"/>
          <w:color w:val="000000" w:themeColor="text1"/>
          <w:sz w:val="20"/>
          <w:szCs w:val="20"/>
        </w:rPr>
        <w:t>, ed in particolare dell’art. 9, non esclude</w:t>
      </w:r>
      <w:r w:rsidR="00BB5828" w:rsidRPr="00A45056">
        <w:rPr>
          <w:rFonts w:ascii="Verdana" w:hAnsi="Verdana"/>
          <w:color w:val="000000" w:themeColor="text1"/>
          <w:sz w:val="20"/>
          <w:szCs w:val="20"/>
        </w:rPr>
        <w:t>va</w:t>
      </w:r>
      <w:r w:rsidR="007642A0">
        <w:rPr>
          <w:rFonts w:ascii="Verdana" w:hAnsi="Verdana"/>
          <w:color w:val="000000" w:themeColor="text1"/>
          <w:sz w:val="20"/>
          <w:szCs w:val="20"/>
        </w:rPr>
        <w:t>,</w:t>
      </w:r>
      <w:r w:rsidR="00BB5828" w:rsidRPr="00A45056">
        <w:rPr>
          <w:rFonts w:ascii="Verdana" w:hAnsi="Verdana"/>
          <w:color w:val="000000" w:themeColor="text1"/>
          <w:sz w:val="20"/>
          <w:szCs w:val="20"/>
        </w:rPr>
        <w:t xml:space="preserve"> al tempo</w:t>
      </w:r>
      <w:r w:rsidR="007642A0">
        <w:rPr>
          <w:rFonts w:ascii="Verdana" w:hAnsi="Verdana"/>
          <w:color w:val="000000" w:themeColor="text1"/>
          <w:sz w:val="20"/>
          <w:szCs w:val="20"/>
        </w:rPr>
        <w:t>,</w:t>
      </w:r>
      <w:r w:rsidR="00F17011" w:rsidRPr="00A45056">
        <w:rPr>
          <w:rFonts w:ascii="Verdana" w:hAnsi="Verdana"/>
          <w:color w:val="000000" w:themeColor="text1"/>
          <w:sz w:val="20"/>
          <w:szCs w:val="20"/>
        </w:rPr>
        <w:t xml:space="preserve"> che l’esercizio delle farmacie comunali po</w:t>
      </w:r>
      <w:r w:rsidR="00BB5828" w:rsidRPr="00A45056">
        <w:rPr>
          <w:rFonts w:ascii="Verdana" w:hAnsi="Verdana"/>
          <w:color w:val="000000" w:themeColor="text1"/>
          <w:sz w:val="20"/>
          <w:szCs w:val="20"/>
        </w:rPr>
        <w:t xml:space="preserve">tesse </w:t>
      </w:r>
      <w:r w:rsidR="00F17011" w:rsidRPr="00A45056">
        <w:rPr>
          <w:rFonts w:ascii="Verdana" w:hAnsi="Verdana"/>
          <w:color w:val="000000" w:themeColor="text1"/>
          <w:sz w:val="20"/>
          <w:szCs w:val="20"/>
        </w:rPr>
        <w:t>avvenire a mezzo di società miste a capitale prevalentemente</w:t>
      </w:r>
      <w:r w:rsidR="007642A0">
        <w:rPr>
          <w:rFonts w:ascii="Verdana" w:hAnsi="Verdana"/>
          <w:color w:val="000000" w:themeColor="text1"/>
          <w:sz w:val="20"/>
          <w:szCs w:val="20"/>
        </w:rPr>
        <w:t xml:space="preserve"> privato</w:t>
      </w:r>
      <w:r w:rsidR="00F17011" w:rsidRPr="00A45056">
        <w:rPr>
          <w:rFonts w:ascii="Verdana" w:hAnsi="Verdana"/>
          <w:color w:val="000000" w:themeColor="text1"/>
          <w:sz w:val="20"/>
          <w:szCs w:val="20"/>
        </w:rPr>
        <w:t>.</w:t>
      </w:r>
    </w:p>
    <w:p w:rsidR="00F17011" w:rsidRPr="00A45056" w:rsidRDefault="00F17011"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In quest’ottica </w:t>
      </w:r>
      <w:r w:rsidR="00BB5828" w:rsidRPr="00A45056">
        <w:rPr>
          <w:rFonts w:ascii="Verdana" w:hAnsi="Verdana"/>
          <w:color w:val="000000" w:themeColor="text1"/>
          <w:sz w:val="20"/>
          <w:szCs w:val="20"/>
        </w:rPr>
        <w:t xml:space="preserve">gli enti controllati </w:t>
      </w:r>
      <w:r w:rsidRPr="00A45056">
        <w:rPr>
          <w:rFonts w:ascii="Verdana" w:hAnsi="Verdana"/>
          <w:color w:val="000000" w:themeColor="text1"/>
          <w:sz w:val="20"/>
          <w:szCs w:val="20"/>
        </w:rPr>
        <w:t>citano:</w:t>
      </w:r>
    </w:p>
    <w:p w:rsidR="00C90E4A" w:rsidRPr="00A45056" w:rsidRDefault="00C91ACA" w:rsidP="00C90E4A">
      <w:pPr>
        <w:pStyle w:val="Paragrafoelenco"/>
        <w:numPr>
          <w:ilvl w:val="0"/>
          <w:numId w:val="47"/>
        </w:numPr>
        <w:shd w:val="clear" w:color="auto" w:fill="FEFFFF"/>
        <w:spacing w:line="360" w:lineRule="auto"/>
        <w:jc w:val="both"/>
        <w:rPr>
          <w:rFonts w:ascii="Verdana" w:hAnsi="Verdana"/>
          <w:color w:val="000000" w:themeColor="text1"/>
          <w:sz w:val="20"/>
          <w:szCs w:val="20"/>
        </w:rPr>
      </w:pPr>
      <w:proofErr w:type="gramStart"/>
      <w:r>
        <w:rPr>
          <w:rFonts w:ascii="Verdana" w:hAnsi="Verdana"/>
          <w:color w:val="000000" w:themeColor="text1"/>
          <w:sz w:val="20"/>
          <w:szCs w:val="20"/>
        </w:rPr>
        <w:t>l</w:t>
      </w:r>
      <w:r w:rsidR="00C90E4A" w:rsidRPr="00A45056">
        <w:rPr>
          <w:rFonts w:ascii="Verdana" w:hAnsi="Verdana"/>
          <w:color w:val="000000" w:themeColor="text1"/>
          <w:sz w:val="20"/>
          <w:szCs w:val="20"/>
        </w:rPr>
        <w:t>’argomento</w:t>
      </w:r>
      <w:proofErr w:type="gramEnd"/>
      <w:r w:rsidR="00C90E4A" w:rsidRPr="00A45056">
        <w:rPr>
          <w:rFonts w:ascii="Verdana" w:hAnsi="Verdana"/>
          <w:color w:val="000000" w:themeColor="text1"/>
          <w:sz w:val="20"/>
          <w:szCs w:val="20"/>
        </w:rPr>
        <w:t xml:space="preserve"> secondo cui il </w:t>
      </w:r>
      <w:r w:rsidR="00AD3AB0" w:rsidRPr="00A45056">
        <w:rPr>
          <w:rFonts w:ascii="Verdana" w:hAnsi="Verdana"/>
          <w:color w:val="000000" w:themeColor="text1"/>
          <w:sz w:val="20"/>
          <w:szCs w:val="20"/>
        </w:rPr>
        <w:t>D.P.R.</w:t>
      </w:r>
      <w:r w:rsidR="00C90E4A" w:rsidRPr="00A45056">
        <w:rPr>
          <w:rFonts w:ascii="Verdana" w:hAnsi="Verdana"/>
          <w:color w:val="000000" w:themeColor="text1"/>
          <w:sz w:val="20"/>
          <w:szCs w:val="20"/>
        </w:rPr>
        <w:t xml:space="preserve"> 533/1996 e l’art. 9 del</w:t>
      </w:r>
      <w:r w:rsidR="00784A1B" w:rsidRPr="00A45056">
        <w:rPr>
          <w:rFonts w:ascii="Verdana" w:hAnsi="Verdana"/>
          <w:color w:val="000000" w:themeColor="text1"/>
          <w:sz w:val="20"/>
          <w:szCs w:val="20"/>
        </w:rPr>
        <w:t>la legge Mariotti</w:t>
      </w:r>
      <w:r w:rsidR="00C90E4A" w:rsidRPr="00A45056">
        <w:rPr>
          <w:rFonts w:ascii="Verdana" w:hAnsi="Verdana"/>
          <w:color w:val="000000" w:themeColor="text1"/>
          <w:sz w:val="20"/>
          <w:szCs w:val="20"/>
        </w:rPr>
        <w:t xml:space="preserve"> </w:t>
      </w:r>
      <w:r w:rsidR="007642A0" w:rsidRPr="00A45056">
        <w:rPr>
          <w:rFonts w:ascii="Verdana" w:hAnsi="Verdana"/>
          <w:color w:val="000000" w:themeColor="text1"/>
          <w:sz w:val="20"/>
          <w:szCs w:val="20"/>
        </w:rPr>
        <w:t>s</w:t>
      </w:r>
      <w:r w:rsidR="007642A0">
        <w:rPr>
          <w:rFonts w:ascii="Verdana" w:hAnsi="Verdana"/>
          <w:color w:val="000000" w:themeColor="text1"/>
          <w:sz w:val="20"/>
          <w:szCs w:val="20"/>
        </w:rPr>
        <w:t xml:space="preserve">arebbero </w:t>
      </w:r>
      <w:r w:rsidR="00C90E4A" w:rsidRPr="00A45056">
        <w:rPr>
          <w:rFonts w:ascii="Verdana" w:hAnsi="Verdana"/>
          <w:color w:val="000000" w:themeColor="text1"/>
          <w:sz w:val="20"/>
          <w:szCs w:val="20"/>
        </w:rPr>
        <w:t>entrambi leggi speciali che si applicano combinatamente</w:t>
      </w:r>
      <w:r w:rsidR="00F0181B" w:rsidRPr="00A45056">
        <w:rPr>
          <w:rFonts w:ascii="Verdana" w:hAnsi="Verdana"/>
          <w:color w:val="000000" w:themeColor="text1"/>
          <w:sz w:val="20"/>
          <w:szCs w:val="20"/>
        </w:rPr>
        <w:t xml:space="preserve">, senza reciprocamente escludersi (memoria CISS </w:t>
      </w:r>
      <w:proofErr w:type="spellStart"/>
      <w:r w:rsidR="00D97830" w:rsidRPr="00A45056">
        <w:rPr>
          <w:rFonts w:ascii="Verdana" w:hAnsi="Verdana"/>
          <w:color w:val="000000" w:themeColor="text1"/>
          <w:sz w:val="20"/>
          <w:szCs w:val="20"/>
        </w:rPr>
        <w:t>prot</w:t>
      </w:r>
      <w:proofErr w:type="spellEnd"/>
      <w:r w:rsidR="00D97830" w:rsidRPr="00A45056">
        <w:rPr>
          <w:rFonts w:ascii="Verdana" w:hAnsi="Verdana"/>
          <w:color w:val="000000" w:themeColor="text1"/>
          <w:sz w:val="20"/>
          <w:szCs w:val="20"/>
        </w:rPr>
        <w:t>. C.C. n. 4934 del 26 settembre 2016)</w:t>
      </w:r>
      <w:r w:rsidR="00175173" w:rsidRPr="00A45056">
        <w:rPr>
          <w:rFonts w:ascii="Verdana" w:hAnsi="Verdana"/>
          <w:color w:val="000000" w:themeColor="text1"/>
          <w:sz w:val="20"/>
          <w:szCs w:val="20"/>
        </w:rPr>
        <w:t>;</w:t>
      </w:r>
      <w:r w:rsidR="00C90E4A" w:rsidRPr="00A45056">
        <w:rPr>
          <w:rFonts w:ascii="Verdana" w:hAnsi="Verdana"/>
          <w:color w:val="000000" w:themeColor="text1"/>
          <w:sz w:val="20"/>
          <w:szCs w:val="20"/>
        </w:rPr>
        <w:t xml:space="preserve"> </w:t>
      </w:r>
    </w:p>
    <w:p w:rsidR="00C90E4A" w:rsidRPr="00A45056" w:rsidRDefault="00C90E4A" w:rsidP="00C90E4A">
      <w:pPr>
        <w:pStyle w:val="Paragrafoelenco"/>
        <w:numPr>
          <w:ilvl w:val="0"/>
          <w:numId w:val="47"/>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la giurisprudenza della Sezione III del Consiglio di Stato che, nel confermare la natura del servizio in termini di servizio pubblico “locale” e a “rilevanza economica”, ha affermato la compatibilità di tale modulo col diritto italiano e comunitario della concorrenza (cfr. Consiglio di Stato Sez. III, sentenza 31 ottobre 2014 n. 5389; sentenza n. 31 dicembre 2014 n. 5587; sentenza 9 luglio 2013 n. 3647/2013)</w:t>
      </w:r>
      <w:r w:rsidR="00F209DB" w:rsidRPr="00A45056">
        <w:rPr>
          <w:rFonts w:ascii="Verdana" w:hAnsi="Verdana"/>
          <w:color w:val="000000" w:themeColor="text1"/>
          <w:sz w:val="20"/>
          <w:szCs w:val="20"/>
        </w:rPr>
        <w:t>; in questo senso si cita anche il precedente TAR Emilia-Romagna, Bologna, sez. I, sentenza 11 febbraio 2013, n. 93</w:t>
      </w:r>
      <w:r w:rsidRPr="00A45056">
        <w:rPr>
          <w:rFonts w:ascii="Verdana" w:hAnsi="Verdana"/>
          <w:color w:val="000000" w:themeColor="text1"/>
          <w:sz w:val="20"/>
          <w:szCs w:val="20"/>
        </w:rPr>
        <w:t xml:space="preserve">; </w:t>
      </w:r>
    </w:p>
    <w:p w:rsidR="003033AD" w:rsidRPr="00A45056" w:rsidRDefault="003033AD" w:rsidP="00175173">
      <w:pPr>
        <w:pStyle w:val="Paragrafoelenco"/>
        <w:numPr>
          <w:ilvl w:val="0"/>
          <w:numId w:val="47"/>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lastRenderedPageBreak/>
        <w:t>l’esistenza</w:t>
      </w:r>
      <w:proofErr w:type="gramEnd"/>
      <w:r w:rsidRPr="00A45056">
        <w:rPr>
          <w:rFonts w:ascii="Verdana" w:hAnsi="Verdana"/>
          <w:color w:val="000000" w:themeColor="text1"/>
          <w:sz w:val="20"/>
          <w:szCs w:val="20"/>
        </w:rPr>
        <w:t xml:space="preserve"> di un contenzioso in cui il CISS, sinora sempre vittorioso, avrebbe avuto conferma della correttezza della scelta del modulo, anche per quel che concerne le adesioni successive al Consorzio ed il conferimento automatico delle sedi </w:t>
      </w:r>
      <w:proofErr w:type="spellStart"/>
      <w:r w:rsidRPr="00A45056">
        <w:rPr>
          <w:rFonts w:ascii="Verdana" w:hAnsi="Verdana"/>
          <w:color w:val="000000" w:themeColor="text1"/>
          <w:sz w:val="20"/>
          <w:szCs w:val="20"/>
        </w:rPr>
        <w:t>prelazionate</w:t>
      </w:r>
      <w:proofErr w:type="spellEnd"/>
      <w:r w:rsidRPr="00A45056">
        <w:rPr>
          <w:rFonts w:ascii="Verdana" w:hAnsi="Verdana"/>
          <w:color w:val="000000" w:themeColor="text1"/>
          <w:sz w:val="20"/>
          <w:szCs w:val="20"/>
        </w:rPr>
        <w:t>.</w:t>
      </w:r>
      <w:r w:rsidR="007F139B" w:rsidRPr="00A45056">
        <w:rPr>
          <w:rFonts w:ascii="Verdana" w:hAnsi="Verdana"/>
          <w:color w:val="000000" w:themeColor="text1"/>
          <w:sz w:val="20"/>
          <w:szCs w:val="20"/>
        </w:rPr>
        <w:t xml:space="preserve"> Si cita a tal proposito</w:t>
      </w:r>
      <w:r w:rsidR="00D707A1" w:rsidRPr="00A45056">
        <w:rPr>
          <w:rFonts w:ascii="Verdana" w:hAnsi="Verdana"/>
          <w:color w:val="000000" w:themeColor="text1"/>
          <w:sz w:val="20"/>
          <w:szCs w:val="20"/>
        </w:rPr>
        <w:t xml:space="preserve"> la pronuncia</w:t>
      </w:r>
      <w:r w:rsidR="007F139B" w:rsidRPr="00A45056">
        <w:rPr>
          <w:rFonts w:ascii="Verdana" w:hAnsi="Verdana"/>
          <w:color w:val="000000" w:themeColor="text1"/>
          <w:sz w:val="20"/>
          <w:szCs w:val="20"/>
        </w:rPr>
        <w:t xml:space="preserve"> </w:t>
      </w:r>
      <w:r w:rsidR="00D707A1" w:rsidRPr="00A45056">
        <w:rPr>
          <w:rFonts w:ascii="Verdana" w:hAnsi="Verdana"/>
          <w:color w:val="000000" w:themeColor="text1"/>
          <w:sz w:val="20"/>
          <w:szCs w:val="20"/>
        </w:rPr>
        <w:t xml:space="preserve">emanata dal </w:t>
      </w:r>
      <w:r w:rsidR="00DE58EC" w:rsidRPr="00A45056">
        <w:rPr>
          <w:rFonts w:ascii="Verdana" w:hAnsi="Verdana"/>
          <w:color w:val="000000" w:themeColor="text1"/>
          <w:sz w:val="20"/>
          <w:szCs w:val="20"/>
        </w:rPr>
        <w:t xml:space="preserve">Consiglio di Stato, sez. V, </w:t>
      </w:r>
      <w:r w:rsidR="00D707A1" w:rsidRPr="00A45056">
        <w:rPr>
          <w:rFonts w:ascii="Verdana" w:hAnsi="Verdana"/>
          <w:color w:val="000000" w:themeColor="text1"/>
          <w:sz w:val="20"/>
          <w:szCs w:val="20"/>
        </w:rPr>
        <w:t xml:space="preserve">sentenza 5 marzo 2010, n. 1288 relativa ad una controversia </w:t>
      </w:r>
      <w:r w:rsidR="006C690E" w:rsidRPr="00A45056">
        <w:rPr>
          <w:rFonts w:ascii="Verdana" w:hAnsi="Verdana"/>
          <w:color w:val="000000" w:themeColor="text1"/>
          <w:sz w:val="20"/>
          <w:szCs w:val="20"/>
        </w:rPr>
        <w:t>in ordine agli</w:t>
      </w:r>
      <w:r w:rsidR="00847BAB">
        <w:rPr>
          <w:rFonts w:ascii="Verdana" w:hAnsi="Verdana"/>
          <w:color w:val="000000" w:themeColor="text1"/>
          <w:sz w:val="20"/>
          <w:szCs w:val="20"/>
        </w:rPr>
        <w:t xml:space="preserve"> </w:t>
      </w:r>
      <w:r w:rsidR="005A0FCB">
        <w:rPr>
          <w:rFonts w:ascii="Verdana" w:hAnsi="Verdana"/>
          <w:color w:val="000000" w:themeColor="text1"/>
          <w:sz w:val="20"/>
          <w:szCs w:val="20"/>
        </w:rPr>
        <w:t>atti</w:t>
      </w:r>
      <w:r w:rsidR="006C690E" w:rsidRPr="00A45056">
        <w:rPr>
          <w:rFonts w:ascii="Verdana" w:hAnsi="Verdana"/>
          <w:color w:val="000000" w:themeColor="text1"/>
          <w:sz w:val="20"/>
          <w:szCs w:val="20"/>
        </w:rPr>
        <w:t xml:space="preserve"> conseguenti a</w:t>
      </w:r>
      <w:r w:rsidR="00D707A1" w:rsidRPr="00A45056">
        <w:rPr>
          <w:rFonts w:ascii="Verdana" w:hAnsi="Verdana"/>
          <w:color w:val="000000" w:themeColor="text1"/>
          <w:sz w:val="20"/>
          <w:szCs w:val="20"/>
        </w:rPr>
        <w:t>l</w:t>
      </w:r>
      <w:r w:rsidR="006C690E" w:rsidRPr="00A45056">
        <w:rPr>
          <w:rFonts w:ascii="Verdana" w:hAnsi="Verdana"/>
          <w:color w:val="000000" w:themeColor="text1"/>
          <w:sz w:val="20"/>
          <w:szCs w:val="20"/>
        </w:rPr>
        <w:t>l</w:t>
      </w:r>
      <w:r w:rsidR="00D707A1" w:rsidRPr="00A45056">
        <w:rPr>
          <w:rFonts w:ascii="Verdana" w:hAnsi="Verdana"/>
          <w:color w:val="000000" w:themeColor="text1"/>
          <w:sz w:val="20"/>
          <w:szCs w:val="20"/>
        </w:rPr>
        <w:t>’adesione successiva al CISS</w:t>
      </w:r>
      <w:r w:rsidR="006C690E" w:rsidRPr="00A45056">
        <w:rPr>
          <w:rFonts w:ascii="Verdana" w:hAnsi="Verdana"/>
          <w:color w:val="000000" w:themeColor="text1"/>
          <w:sz w:val="20"/>
          <w:szCs w:val="20"/>
        </w:rPr>
        <w:t xml:space="preserve"> </w:t>
      </w:r>
      <w:r w:rsidR="005A0FCB">
        <w:rPr>
          <w:rFonts w:ascii="Verdana" w:hAnsi="Verdana"/>
          <w:color w:val="000000" w:themeColor="text1"/>
          <w:sz w:val="20"/>
          <w:szCs w:val="20"/>
        </w:rPr>
        <w:t xml:space="preserve">da parte </w:t>
      </w:r>
      <w:r w:rsidR="006C690E" w:rsidRPr="00A45056">
        <w:rPr>
          <w:rFonts w:ascii="Verdana" w:hAnsi="Verdana"/>
          <w:color w:val="000000" w:themeColor="text1"/>
          <w:sz w:val="20"/>
          <w:szCs w:val="20"/>
        </w:rPr>
        <w:t>del Comune di Acerra).</w:t>
      </w:r>
      <w:r w:rsidR="00D707A1" w:rsidRPr="00A45056">
        <w:rPr>
          <w:rFonts w:ascii="Verdana" w:hAnsi="Verdana"/>
          <w:color w:val="000000" w:themeColor="text1"/>
          <w:sz w:val="20"/>
          <w:szCs w:val="20"/>
        </w:rPr>
        <w:t xml:space="preserve"> </w:t>
      </w:r>
    </w:p>
    <w:p w:rsidR="004B7E30" w:rsidRPr="00A45056" w:rsidRDefault="004B7E30" w:rsidP="004B7E30">
      <w:pPr>
        <w:pStyle w:val="Paragrafoelenco"/>
        <w:shd w:val="clear" w:color="auto" w:fill="FEFFFF"/>
        <w:spacing w:line="360" w:lineRule="auto"/>
        <w:ind w:left="1068"/>
        <w:jc w:val="both"/>
        <w:rPr>
          <w:rFonts w:ascii="Verdana" w:hAnsi="Verdana"/>
          <w:color w:val="000000" w:themeColor="text1"/>
          <w:sz w:val="20"/>
          <w:szCs w:val="20"/>
        </w:rPr>
      </w:pPr>
      <w:r w:rsidRPr="00A45056">
        <w:rPr>
          <w:rFonts w:ascii="Verdana" w:hAnsi="Verdana"/>
          <w:color w:val="000000" w:themeColor="text1"/>
          <w:sz w:val="20"/>
          <w:szCs w:val="20"/>
        </w:rPr>
        <w:t>Le obiezioni non sono decisive.</w:t>
      </w:r>
    </w:p>
    <w:p w:rsidR="00E8193C" w:rsidRPr="00A45056" w:rsidRDefault="001D0C1E"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color w:val="000000" w:themeColor="text1"/>
          <w:sz w:val="20"/>
          <w:szCs w:val="20"/>
        </w:rPr>
        <w:t>5</w:t>
      </w:r>
      <w:r w:rsidR="008362DE" w:rsidRPr="00A45056">
        <w:rPr>
          <w:rFonts w:ascii="Verdana" w:hAnsi="Verdana"/>
          <w:b/>
          <w:color w:val="000000" w:themeColor="text1"/>
          <w:sz w:val="20"/>
          <w:szCs w:val="20"/>
        </w:rPr>
        <w:t>.1</w:t>
      </w:r>
      <w:r w:rsidR="00F63A96" w:rsidRPr="00A45056">
        <w:rPr>
          <w:rFonts w:ascii="Verdana" w:hAnsi="Verdana"/>
          <w:b/>
          <w:color w:val="000000" w:themeColor="text1"/>
          <w:sz w:val="20"/>
          <w:szCs w:val="20"/>
        </w:rPr>
        <w:t>.</w:t>
      </w:r>
      <w:r w:rsidRPr="00A45056">
        <w:rPr>
          <w:rFonts w:ascii="Verdana" w:hAnsi="Verdana"/>
          <w:b/>
          <w:color w:val="000000" w:themeColor="text1"/>
          <w:sz w:val="20"/>
          <w:szCs w:val="20"/>
        </w:rPr>
        <w:t>1.</w:t>
      </w:r>
      <w:r w:rsidR="00F63A96" w:rsidRPr="00A45056">
        <w:rPr>
          <w:rFonts w:ascii="Verdana" w:hAnsi="Verdana"/>
          <w:color w:val="000000" w:themeColor="text1"/>
          <w:sz w:val="20"/>
          <w:szCs w:val="20"/>
        </w:rPr>
        <w:t xml:space="preserve"> </w:t>
      </w:r>
      <w:r w:rsidR="004B7E30" w:rsidRPr="00A45056">
        <w:rPr>
          <w:rFonts w:ascii="Verdana" w:hAnsi="Verdana"/>
          <w:color w:val="000000" w:themeColor="text1"/>
          <w:sz w:val="20"/>
          <w:szCs w:val="20"/>
        </w:rPr>
        <w:t>Ferma restando l’</w:t>
      </w:r>
      <w:r w:rsidR="0031163B" w:rsidRPr="00A45056">
        <w:rPr>
          <w:rFonts w:ascii="Verdana" w:hAnsi="Verdana"/>
          <w:color w:val="000000" w:themeColor="text1"/>
          <w:sz w:val="20"/>
          <w:szCs w:val="20"/>
        </w:rPr>
        <w:t>innegabile sussistenza di un’</w:t>
      </w:r>
      <w:r w:rsidR="004B7E30" w:rsidRPr="00A45056">
        <w:rPr>
          <w:rFonts w:ascii="Verdana" w:hAnsi="Verdana"/>
          <w:color w:val="000000" w:themeColor="text1"/>
          <w:sz w:val="20"/>
          <w:szCs w:val="20"/>
        </w:rPr>
        <w:t xml:space="preserve">incertezza interpretativa sul punto dell’utilizzabilità del modulo società mista </w:t>
      </w:r>
      <w:r w:rsidR="00E8193C" w:rsidRPr="00A45056">
        <w:rPr>
          <w:rFonts w:ascii="Verdana" w:hAnsi="Verdana"/>
          <w:color w:val="000000" w:themeColor="text1"/>
          <w:sz w:val="20"/>
          <w:szCs w:val="20"/>
        </w:rPr>
        <w:t>a capitale privato prevalente nel settore delle farmacie si osserva quanto segue.</w:t>
      </w:r>
    </w:p>
    <w:p w:rsidR="001431BA" w:rsidRPr="00A45056" w:rsidRDefault="00E8193C"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 primo luogo</w:t>
      </w:r>
      <w:r w:rsidR="00DB014D">
        <w:rPr>
          <w:rFonts w:ascii="Verdana" w:hAnsi="Verdana"/>
          <w:color w:val="000000" w:themeColor="text1"/>
          <w:sz w:val="20"/>
          <w:szCs w:val="20"/>
        </w:rPr>
        <w:t>, ammesso che possa considerarsi speciale una norma confluita nel TUEL,</w:t>
      </w:r>
      <w:r w:rsidRPr="00A45056">
        <w:rPr>
          <w:rFonts w:ascii="Verdana" w:hAnsi="Verdana"/>
          <w:color w:val="000000" w:themeColor="text1"/>
          <w:sz w:val="20"/>
          <w:szCs w:val="20"/>
        </w:rPr>
        <w:t xml:space="preserve"> due leggi speciali, per loro natura, dal punto di vista della teoria gen</w:t>
      </w:r>
      <w:r w:rsidR="001431BA" w:rsidRPr="00A45056">
        <w:rPr>
          <w:rFonts w:ascii="Verdana" w:hAnsi="Verdana"/>
          <w:color w:val="000000" w:themeColor="text1"/>
          <w:sz w:val="20"/>
          <w:szCs w:val="20"/>
        </w:rPr>
        <w:t>erale</w:t>
      </w:r>
      <w:r w:rsidR="00BB55A1" w:rsidRPr="00A45056">
        <w:rPr>
          <w:rFonts w:ascii="Verdana" w:hAnsi="Verdana"/>
          <w:color w:val="000000" w:themeColor="text1"/>
          <w:sz w:val="20"/>
          <w:szCs w:val="20"/>
        </w:rPr>
        <w:t xml:space="preserve"> non possono integrarsi, ma, a fronte di un’antinomia non altrimenti risolta dal legislatore, devono prevalere una sull’altra sulla base della maggiore specialità dell’una o dell’altra disciplina</w:t>
      </w:r>
      <w:r w:rsidR="001431BA" w:rsidRPr="00A45056">
        <w:rPr>
          <w:rFonts w:ascii="Verdana" w:hAnsi="Verdana"/>
          <w:color w:val="000000" w:themeColor="text1"/>
          <w:sz w:val="20"/>
          <w:szCs w:val="20"/>
        </w:rPr>
        <w:t>.</w:t>
      </w:r>
    </w:p>
    <w:p w:rsidR="00D5738E" w:rsidRPr="00A45056" w:rsidRDefault="001431BA"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L’art. 9 della Legge Mariotti e l’art. 113 TUEL</w:t>
      </w:r>
      <w:r w:rsidR="00D5738E" w:rsidRPr="00A45056">
        <w:rPr>
          <w:rFonts w:ascii="Verdana" w:hAnsi="Verdana"/>
          <w:color w:val="000000" w:themeColor="text1"/>
          <w:sz w:val="20"/>
          <w:szCs w:val="20"/>
        </w:rPr>
        <w:t xml:space="preserve"> (quest’ultimo integrato dalla disciplina attuativa del </w:t>
      </w:r>
      <w:r w:rsidR="00AD3AB0" w:rsidRPr="00A45056">
        <w:rPr>
          <w:rFonts w:ascii="Verdana" w:hAnsi="Verdana"/>
          <w:color w:val="000000" w:themeColor="text1"/>
          <w:sz w:val="20"/>
          <w:szCs w:val="20"/>
        </w:rPr>
        <w:t>D.P.R.</w:t>
      </w:r>
      <w:r w:rsidR="00D5738E" w:rsidRPr="00A45056">
        <w:rPr>
          <w:rFonts w:ascii="Verdana" w:hAnsi="Verdana"/>
          <w:color w:val="000000" w:themeColor="text1"/>
          <w:sz w:val="20"/>
          <w:szCs w:val="20"/>
        </w:rPr>
        <w:t xml:space="preserve"> 533/1996, in punto di società miste</w:t>
      </w:r>
      <w:r w:rsidR="0031163B" w:rsidRPr="00A45056">
        <w:rPr>
          <w:rFonts w:ascii="Verdana" w:hAnsi="Verdana"/>
          <w:color w:val="000000" w:themeColor="text1"/>
          <w:sz w:val="20"/>
          <w:szCs w:val="20"/>
        </w:rPr>
        <w:t xml:space="preserve"> a capitale privato prevalente)</w:t>
      </w:r>
      <w:r w:rsidRPr="00A45056">
        <w:rPr>
          <w:rFonts w:ascii="Verdana" w:hAnsi="Verdana"/>
          <w:color w:val="000000" w:themeColor="text1"/>
          <w:sz w:val="20"/>
          <w:szCs w:val="20"/>
        </w:rPr>
        <w:t xml:space="preserve"> contenevano entrambi la disciplina dei servizi pubblici locali</w:t>
      </w:r>
      <w:r w:rsidR="00D5738E" w:rsidRPr="00A45056">
        <w:rPr>
          <w:rFonts w:ascii="Verdana" w:hAnsi="Verdana"/>
          <w:color w:val="000000" w:themeColor="text1"/>
          <w:sz w:val="20"/>
          <w:szCs w:val="20"/>
        </w:rPr>
        <w:t>, con contenuti peraltro divergenti nei termini evidenziati al §</w:t>
      </w:r>
      <w:r w:rsidR="00BB55A1" w:rsidRPr="00A45056">
        <w:rPr>
          <w:rFonts w:ascii="Verdana" w:hAnsi="Verdana"/>
          <w:color w:val="000000" w:themeColor="text1"/>
          <w:sz w:val="20"/>
          <w:szCs w:val="20"/>
        </w:rPr>
        <w:t xml:space="preserve"> 4</w:t>
      </w:r>
      <w:r w:rsidR="00D5738E" w:rsidRPr="00A45056">
        <w:rPr>
          <w:rFonts w:ascii="Verdana" w:hAnsi="Verdana"/>
          <w:color w:val="000000" w:themeColor="text1"/>
          <w:sz w:val="20"/>
          <w:szCs w:val="20"/>
        </w:rPr>
        <w:t>.</w:t>
      </w:r>
    </w:p>
    <w:p w:rsidR="00D439D4" w:rsidRPr="00A45056" w:rsidRDefault="001431BA"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 </w:t>
      </w:r>
      <w:r w:rsidR="00BB55A1" w:rsidRPr="00A45056">
        <w:rPr>
          <w:rFonts w:ascii="Verdana" w:hAnsi="Verdana"/>
          <w:color w:val="000000" w:themeColor="text1"/>
          <w:sz w:val="20"/>
          <w:szCs w:val="20"/>
        </w:rPr>
        <w:t>Ne consegue che la disciplina applicabile no</w:t>
      </w:r>
      <w:r w:rsidR="00D439D4" w:rsidRPr="00A45056">
        <w:rPr>
          <w:rFonts w:ascii="Verdana" w:hAnsi="Verdana"/>
          <w:color w:val="000000" w:themeColor="text1"/>
          <w:sz w:val="20"/>
          <w:szCs w:val="20"/>
        </w:rPr>
        <w:t>n</w:t>
      </w:r>
      <w:r w:rsidR="00BB55A1" w:rsidRPr="00A45056">
        <w:rPr>
          <w:rFonts w:ascii="Verdana" w:hAnsi="Verdana"/>
          <w:color w:val="000000" w:themeColor="text1"/>
          <w:sz w:val="20"/>
          <w:szCs w:val="20"/>
        </w:rPr>
        <w:t xml:space="preserve"> poteva che essere quella della legge Mariotti</w:t>
      </w:r>
      <w:r w:rsidR="00D439D4" w:rsidRPr="00A45056">
        <w:rPr>
          <w:rFonts w:ascii="Verdana" w:hAnsi="Verdana"/>
          <w:color w:val="000000" w:themeColor="text1"/>
          <w:sz w:val="20"/>
          <w:szCs w:val="20"/>
        </w:rPr>
        <w:t>, atteso che</w:t>
      </w:r>
      <w:r w:rsidR="000B1B65">
        <w:rPr>
          <w:rFonts w:ascii="Verdana" w:hAnsi="Verdana"/>
          <w:color w:val="000000" w:themeColor="text1"/>
          <w:sz w:val="20"/>
          <w:szCs w:val="20"/>
        </w:rPr>
        <w:t xml:space="preserve"> </w:t>
      </w:r>
      <w:r w:rsidR="00D439D4" w:rsidRPr="00A45056">
        <w:rPr>
          <w:rFonts w:ascii="Verdana" w:hAnsi="Verdana"/>
          <w:color w:val="000000" w:themeColor="text1"/>
          <w:sz w:val="20"/>
          <w:szCs w:val="20"/>
        </w:rPr>
        <w:t xml:space="preserve">l’ambito di disciplina di quest’ultima </w:t>
      </w:r>
      <w:r w:rsidR="005E619A">
        <w:rPr>
          <w:rFonts w:ascii="Verdana" w:hAnsi="Verdana"/>
          <w:color w:val="000000" w:themeColor="text1"/>
          <w:sz w:val="20"/>
          <w:szCs w:val="20"/>
        </w:rPr>
        <w:t xml:space="preserve">riguardava non i servizi pubblici in generale, ma un particolare servizio pubblico, vale a dire quello </w:t>
      </w:r>
      <w:r w:rsidR="00D439D4" w:rsidRPr="00A45056">
        <w:rPr>
          <w:rFonts w:ascii="Verdana" w:hAnsi="Verdana"/>
          <w:color w:val="000000" w:themeColor="text1"/>
          <w:sz w:val="20"/>
          <w:szCs w:val="20"/>
        </w:rPr>
        <w:t>concernete l’“attività farmaceutica”</w:t>
      </w:r>
      <w:r w:rsidR="005E619A">
        <w:rPr>
          <w:rFonts w:ascii="Verdana" w:hAnsi="Verdana"/>
          <w:color w:val="000000" w:themeColor="text1"/>
          <w:sz w:val="20"/>
          <w:szCs w:val="20"/>
        </w:rPr>
        <w:t>, così integrando quell’elemento di differenziazione che consente all’</w:t>
      </w:r>
      <w:r w:rsidR="000B1B65">
        <w:rPr>
          <w:rFonts w:ascii="Verdana" w:hAnsi="Verdana"/>
          <w:color w:val="000000" w:themeColor="text1"/>
          <w:sz w:val="20"/>
          <w:szCs w:val="20"/>
        </w:rPr>
        <w:t>interprete</w:t>
      </w:r>
      <w:r w:rsidR="005E619A">
        <w:rPr>
          <w:rFonts w:ascii="Verdana" w:hAnsi="Verdana"/>
          <w:color w:val="000000" w:themeColor="text1"/>
          <w:sz w:val="20"/>
          <w:szCs w:val="20"/>
        </w:rPr>
        <w:t xml:space="preserve"> di superare l’apparente antinomia</w:t>
      </w:r>
      <w:r w:rsidR="00433855" w:rsidRPr="00A45056">
        <w:rPr>
          <w:rFonts w:ascii="Verdana" w:hAnsi="Verdana"/>
          <w:color w:val="000000" w:themeColor="text1"/>
          <w:sz w:val="20"/>
          <w:szCs w:val="20"/>
        </w:rPr>
        <w:t>;</w:t>
      </w:r>
      <w:r w:rsidR="00D439D4" w:rsidRPr="00A45056">
        <w:rPr>
          <w:rFonts w:ascii="Verdana" w:hAnsi="Verdana"/>
          <w:color w:val="000000" w:themeColor="text1"/>
          <w:sz w:val="20"/>
          <w:szCs w:val="20"/>
        </w:rPr>
        <w:t xml:space="preserve"> </w:t>
      </w:r>
      <w:r w:rsidR="00433855" w:rsidRPr="00A45056">
        <w:rPr>
          <w:rFonts w:ascii="Verdana" w:hAnsi="Verdana"/>
          <w:color w:val="000000" w:themeColor="text1"/>
          <w:sz w:val="20"/>
          <w:szCs w:val="20"/>
        </w:rPr>
        <w:t xml:space="preserve">si tratta infatti di una </w:t>
      </w:r>
      <w:r w:rsidR="00D439D4" w:rsidRPr="00A45056">
        <w:rPr>
          <w:rFonts w:ascii="Verdana" w:hAnsi="Verdana"/>
          <w:color w:val="000000" w:themeColor="text1"/>
          <w:sz w:val="20"/>
          <w:szCs w:val="20"/>
        </w:rPr>
        <w:t>specialità</w:t>
      </w:r>
      <w:r w:rsidR="00433855" w:rsidRPr="00A45056">
        <w:rPr>
          <w:rFonts w:ascii="Verdana" w:hAnsi="Verdana"/>
          <w:color w:val="000000" w:themeColor="text1"/>
          <w:sz w:val="20"/>
          <w:szCs w:val="20"/>
        </w:rPr>
        <w:t xml:space="preserve"> ritenuta rilevan</w:t>
      </w:r>
      <w:r w:rsidR="00D439D4" w:rsidRPr="00A45056">
        <w:rPr>
          <w:rFonts w:ascii="Verdana" w:hAnsi="Verdana"/>
          <w:color w:val="000000" w:themeColor="text1"/>
          <w:sz w:val="20"/>
          <w:szCs w:val="20"/>
        </w:rPr>
        <w:t>t</w:t>
      </w:r>
      <w:r w:rsidR="00433855" w:rsidRPr="00A45056">
        <w:rPr>
          <w:rFonts w:ascii="Verdana" w:hAnsi="Verdana"/>
          <w:color w:val="000000" w:themeColor="text1"/>
          <w:sz w:val="20"/>
          <w:szCs w:val="20"/>
        </w:rPr>
        <w:t>e</w:t>
      </w:r>
      <w:r w:rsidR="00D439D4" w:rsidRPr="00A45056">
        <w:rPr>
          <w:rFonts w:ascii="Verdana" w:hAnsi="Verdana"/>
          <w:color w:val="000000" w:themeColor="text1"/>
          <w:sz w:val="20"/>
          <w:szCs w:val="20"/>
        </w:rPr>
        <w:t xml:space="preserve"> e tenuta presente dal Legislatore</w:t>
      </w:r>
      <w:r w:rsidR="005E619A">
        <w:rPr>
          <w:rFonts w:ascii="Verdana" w:hAnsi="Verdana"/>
          <w:color w:val="000000" w:themeColor="text1"/>
          <w:sz w:val="20"/>
          <w:szCs w:val="20"/>
        </w:rPr>
        <w:t xml:space="preserve"> stesso</w:t>
      </w:r>
      <w:r w:rsidR="00D439D4" w:rsidRPr="00A45056">
        <w:rPr>
          <w:rFonts w:ascii="Verdana" w:hAnsi="Verdana"/>
          <w:color w:val="000000" w:themeColor="text1"/>
          <w:sz w:val="20"/>
          <w:szCs w:val="20"/>
        </w:rPr>
        <w:t xml:space="preserve"> nei </w:t>
      </w:r>
      <w:r w:rsidR="00433855" w:rsidRPr="00A45056">
        <w:rPr>
          <w:rFonts w:ascii="Verdana" w:hAnsi="Verdana"/>
          <w:color w:val="000000" w:themeColor="text1"/>
          <w:sz w:val="20"/>
          <w:szCs w:val="20"/>
        </w:rPr>
        <w:t>vari interventi normativi succed</w:t>
      </w:r>
      <w:r w:rsidR="00D439D4" w:rsidRPr="00A45056">
        <w:rPr>
          <w:rFonts w:ascii="Verdana" w:hAnsi="Verdana"/>
          <w:color w:val="000000" w:themeColor="text1"/>
          <w:sz w:val="20"/>
          <w:szCs w:val="20"/>
        </w:rPr>
        <w:t>utesi negli anni nel settore dei servizi pubblici locali</w:t>
      </w:r>
      <w:r w:rsidR="00433855" w:rsidRPr="00A45056">
        <w:rPr>
          <w:rFonts w:ascii="Verdana" w:hAnsi="Verdana"/>
          <w:color w:val="000000" w:themeColor="text1"/>
          <w:sz w:val="20"/>
          <w:szCs w:val="20"/>
        </w:rPr>
        <w:t xml:space="preserve"> (cfr. § 2)</w:t>
      </w:r>
      <w:r w:rsidR="00D439D4" w:rsidRPr="00A45056">
        <w:rPr>
          <w:rFonts w:ascii="Verdana" w:hAnsi="Verdana"/>
          <w:color w:val="000000" w:themeColor="text1"/>
          <w:sz w:val="20"/>
          <w:szCs w:val="20"/>
        </w:rPr>
        <w:t>.</w:t>
      </w:r>
    </w:p>
    <w:p w:rsidR="00433855" w:rsidRPr="00A45056" w:rsidRDefault="00433855" w:rsidP="0043385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Occorre vieppiù considerare che la L. n. 475/1968, oltre che legge speciale, è altresì</w:t>
      </w:r>
      <w:r w:rsidR="0031163B" w:rsidRPr="00A45056">
        <w:rPr>
          <w:rFonts w:ascii="Verdana" w:hAnsi="Verdana"/>
          <w:color w:val="000000" w:themeColor="text1"/>
          <w:sz w:val="20"/>
          <w:szCs w:val="20"/>
        </w:rPr>
        <w:t xml:space="preserve"> </w:t>
      </w:r>
      <w:r w:rsidRPr="00A45056">
        <w:rPr>
          <w:rFonts w:ascii="Verdana" w:hAnsi="Verdana"/>
          <w:color w:val="000000" w:themeColor="text1"/>
          <w:sz w:val="20"/>
          <w:szCs w:val="20"/>
        </w:rPr>
        <w:t>“legge di riforma” che interviene nel pregresso quadro di leggi statali sul servizio farmaceutico, costituto dal R.D. 27.07.1934, n. 1265 "Testo Unico delle Leggi Sanitarie" e dal R.D. 30-9-1938 n. 1706 "Approvazione del regolamento per il servizio farmaceutico".</w:t>
      </w:r>
    </w:p>
    <w:p w:rsidR="002A093F" w:rsidRPr="00A45056" w:rsidRDefault="00433855"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Per contro, è stata una scelta precipua del legislatore quella di restringere l’ambito di applicazione del modulo organizzativo </w:t>
      </w:r>
      <w:r w:rsidR="0000456B">
        <w:rPr>
          <w:rFonts w:ascii="Verdana" w:hAnsi="Verdana"/>
          <w:color w:val="000000" w:themeColor="text1"/>
          <w:sz w:val="20"/>
          <w:szCs w:val="20"/>
        </w:rPr>
        <w:t xml:space="preserve">della </w:t>
      </w:r>
      <w:r w:rsidRPr="00A45056">
        <w:rPr>
          <w:rFonts w:ascii="Verdana" w:hAnsi="Verdana"/>
          <w:color w:val="000000" w:themeColor="text1"/>
          <w:sz w:val="20"/>
          <w:szCs w:val="20"/>
        </w:rPr>
        <w:t xml:space="preserve">società mista a capitale privato prevalente </w:t>
      </w:r>
      <w:r w:rsidR="002A093F" w:rsidRPr="00A45056">
        <w:rPr>
          <w:rFonts w:ascii="Verdana" w:hAnsi="Verdana"/>
          <w:color w:val="000000" w:themeColor="text1"/>
          <w:sz w:val="20"/>
          <w:szCs w:val="20"/>
        </w:rPr>
        <w:t>al solo settore dei servizi pubblici locali privi di rilevanza economica, dopo un peri</w:t>
      </w:r>
      <w:r w:rsidR="00E077B1" w:rsidRPr="00A45056">
        <w:rPr>
          <w:rFonts w:ascii="Verdana" w:hAnsi="Verdana"/>
          <w:color w:val="000000" w:themeColor="text1"/>
          <w:sz w:val="20"/>
          <w:szCs w:val="20"/>
        </w:rPr>
        <w:t>o</w:t>
      </w:r>
      <w:r w:rsidR="002A093F" w:rsidRPr="00A45056">
        <w:rPr>
          <w:rFonts w:ascii="Verdana" w:hAnsi="Verdana"/>
          <w:color w:val="000000" w:themeColor="text1"/>
          <w:sz w:val="20"/>
          <w:szCs w:val="20"/>
        </w:rPr>
        <w:t xml:space="preserve">do in cui tale possibilità era </w:t>
      </w:r>
      <w:proofErr w:type="spellStart"/>
      <w:r w:rsidR="002A093F" w:rsidRPr="00A45056">
        <w:rPr>
          <w:rFonts w:ascii="Verdana" w:hAnsi="Verdana"/>
          <w:color w:val="000000" w:themeColor="text1"/>
          <w:sz w:val="20"/>
          <w:szCs w:val="20"/>
        </w:rPr>
        <w:t>sta</w:t>
      </w:r>
      <w:proofErr w:type="spellEnd"/>
      <w:r w:rsidR="002A093F" w:rsidRPr="00A45056">
        <w:rPr>
          <w:rFonts w:ascii="Verdana" w:hAnsi="Verdana"/>
          <w:color w:val="000000" w:themeColor="text1"/>
          <w:sz w:val="20"/>
          <w:szCs w:val="20"/>
        </w:rPr>
        <w:t xml:space="preserve"> espressamente consentita con una deroga legislativa alla legge Mariotti.</w:t>
      </w:r>
    </w:p>
    <w:p w:rsidR="002A093F" w:rsidRPr="00A45056" w:rsidRDefault="002A093F"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Il caso è icasticamente evidenziato da un precedente richiamato dallo stesso CISS e segnatamente dalla sentenza TAR Emilia-Romagna, Bologna, sez. I, 11 febbraio 2013, n. 93</w:t>
      </w:r>
      <w:r w:rsidR="00717744" w:rsidRPr="00A45056">
        <w:rPr>
          <w:rFonts w:ascii="Verdana" w:hAnsi="Verdana"/>
          <w:color w:val="000000" w:themeColor="text1"/>
          <w:sz w:val="20"/>
          <w:szCs w:val="20"/>
        </w:rPr>
        <w:t>.</w:t>
      </w:r>
    </w:p>
    <w:p w:rsidR="00E077B1" w:rsidRPr="00A45056" w:rsidRDefault="00E077B1" w:rsidP="00E077B1">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La costituzione e l’affidamento del servizio farmaceutico a società mista a capitale privato prevalente sono stati infatti </w:t>
      </w:r>
      <w:r w:rsidR="0000456B" w:rsidRPr="00A45056">
        <w:rPr>
          <w:rFonts w:ascii="Verdana" w:hAnsi="Verdana"/>
          <w:color w:val="000000" w:themeColor="text1"/>
          <w:sz w:val="20"/>
          <w:szCs w:val="20"/>
        </w:rPr>
        <w:t>possibil</w:t>
      </w:r>
      <w:r w:rsidR="0000456B">
        <w:rPr>
          <w:rFonts w:ascii="Verdana" w:hAnsi="Verdana"/>
          <w:color w:val="000000" w:themeColor="text1"/>
          <w:sz w:val="20"/>
          <w:szCs w:val="20"/>
        </w:rPr>
        <w:t>i</w:t>
      </w:r>
      <w:r w:rsidR="0000456B" w:rsidRPr="00A45056">
        <w:rPr>
          <w:rFonts w:ascii="Verdana" w:hAnsi="Verdana"/>
          <w:color w:val="000000" w:themeColor="text1"/>
          <w:sz w:val="20"/>
          <w:szCs w:val="20"/>
        </w:rPr>
        <w:t xml:space="preserve"> </w:t>
      </w:r>
      <w:r w:rsidRPr="00A45056">
        <w:rPr>
          <w:rFonts w:ascii="Verdana" w:hAnsi="Verdana"/>
          <w:color w:val="000000" w:themeColor="text1"/>
          <w:sz w:val="20"/>
          <w:szCs w:val="20"/>
        </w:rPr>
        <w:t>solo dalla data di entrata in vigore del</w:t>
      </w:r>
      <w:r w:rsidR="00D227F1" w:rsidRPr="00A45056">
        <w:rPr>
          <w:rFonts w:ascii="Verdana" w:hAnsi="Verdana"/>
          <w:color w:val="000000" w:themeColor="text1"/>
          <w:sz w:val="20"/>
          <w:szCs w:val="20"/>
        </w:rPr>
        <w:t>la L. n. 498/1992</w:t>
      </w:r>
      <w:r w:rsidRPr="00A45056">
        <w:rPr>
          <w:rFonts w:ascii="Verdana" w:hAnsi="Verdana"/>
          <w:color w:val="000000" w:themeColor="text1"/>
          <w:sz w:val="20"/>
          <w:szCs w:val="20"/>
        </w:rPr>
        <w:t xml:space="preserve"> fino al giorno prima dell’entrata in vigore del TUEL (ergo fino al 27 settembre 2000)</w:t>
      </w:r>
      <w:r w:rsidR="00D227F1" w:rsidRPr="00A45056">
        <w:rPr>
          <w:rFonts w:ascii="Verdana" w:hAnsi="Verdana"/>
          <w:color w:val="000000" w:themeColor="text1"/>
          <w:sz w:val="20"/>
          <w:szCs w:val="20"/>
        </w:rPr>
        <w:t xml:space="preserve"> che ha effettuato scelte opposte.</w:t>
      </w:r>
    </w:p>
    <w:p w:rsidR="00D227F1" w:rsidRPr="00A45056" w:rsidRDefault="00D227F1" w:rsidP="00E077B1">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lastRenderedPageBreak/>
        <w:t>L’art. 12</w:t>
      </w:r>
      <w:r w:rsidR="008134EA" w:rsidRPr="00A45056">
        <w:rPr>
          <w:rFonts w:ascii="Verdana" w:hAnsi="Verdana"/>
          <w:color w:val="000000" w:themeColor="text1"/>
          <w:sz w:val="20"/>
          <w:szCs w:val="20"/>
        </w:rPr>
        <w:t>, comma 1,</w:t>
      </w:r>
      <w:r w:rsidRPr="00A45056">
        <w:rPr>
          <w:rFonts w:ascii="Verdana" w:hAnsi="Verdana"/>
          <w:color w:val="000000" w:themeColor="text1"/>
          <w:sz w:val="20"/>
          <w:szCs w:val="20"/>
        </w:rPr>
        <w:t xml:space="preserve"> della L. n. 498/1992, sulla base del quale è stato emanato il </w:t>
      </w:r>
      <w:r w:rsidR="00AD3AB0" w:rsidRPr="00A45056">
        <w:rPr>
          <w:rFonts w:ascii="Verdana" w:hAnsi="Verdana"/>
          <w:color w:val="000000" w:themeColor="text1"/>
          <w:sz w:val="20"/>
          <w:szCs w:val="20"/>
        </w:rPr>
        <w:t>D.P.R.</w:t>
      </w:r>
      <w:r w:rsidRPr="00A45056">
        <w:rPr>
          <w:rFonts w:ascii="Verdana" w:hAnsi="Verdana"/>
          <w:color w:val="000000" w:themeColor="text1"/>
          <w:sz w:val="20"/>
          <w:szCs w:val="20"/>
        </w:rPr>
        <w:t xml:space="preserve"> 533/1996</w:t>
      </w:r>
      <w:r w:rsidR="00676DD4" w:rsidRPr="00A45056">
        <w:rPr>
          <w:rFonts w:ascii="Verdana" w:hAnsi="Verdana"/>
          <w:color w:val="000000" w:themeColor="text1"/>
          <w:sz w:val="20"/>
          <w:szCs w:val="20"/>
        </w:rPr>
        <w:t>, integrava</w:t>
      </w:r>
      <w:r w:rsidR="0000456B">
        <w:rPr>
          <w:rFonts w:ascii="Verdana" w:hAnsi="Verdana"/>
          <w:color w:val="000000" w:themeColor="text1"/>
          <w:sz w:val="20"/>
          <w:szCs w:val="20"/>
        </w:rPr>
        <w:t>, infatti,</w:t>
      </w:r>
      <w:r w:rsidR="00676DD4" w:rsidRPr="00A45056">
        <w:rPr>
          <w:rFonts w:ascii="Verdana" w:hAnsi="Verdana"/>
          <w:color w:val="000000" w:themeColor="text1"/>
          <w:sz w:val="20"/>
          <w:szCs w:val="20"/>
        </w:rPr>
        <w:t xml:space="preserve"> il sistema di gestione ed affidamento dei servizi pubblici locali prevedendo società miste “</w:t>
      </w:r>
      <w:r w:rsidR="00676DD4" w:rsidRPr="00A45056">
        <w:rPr>
          <w:rFonts w:ascii="Verdana" w:hAnsi="Verdana"/>
          <w:i/>
          <w:color w:val="000000" w:themeColor="text1"/>
          <w:sz w:val="20"/>
          <w:szCs w:val="20"/>
        </w:rPr>
        <w:t>senza il vincolo della proprietà maggioritaria</w:t>
      </w:r>
      <w:r w:rsidR="00676DD4" w:rsidRPr="00A45056">
        <w:rPr>
          <w:rFonts w:ascii="Verdana" w:hAnsi="Verdana"/>
          <w:color w:val="000000" w:themeColor="text1"/>
          <w:sz w:val="20"/>
          <w:szCs w:val="20"/>
        </w:rPr>
        <w:t>” pubblica, “</w:t>
      </w:r>
      <w:r w:rsidR="00924D42" w:rsidRPr="00A45056">
        <w:rPr>
          <w:rFonts w:ascii="Verdana" w:hAnsi="Verdana"/>
          <w:i/>
          <w:color w:val="000000" w:themeColor="text1"/>
          <w:sz w:val="20"/>
          <w:szCs w:val="20"/>
        </w:rPr>
        <w:t>anche in deroga a quanto previsto dall'articolo 9, primo comma, lettera d), della legge 2 aprile 1968, n. 475</w:t>
      </w:r>
      <w:r w:rsidR="00676DD4" w:rsidRPr="00A45056">
        <w:rPr>
          <w:rFonts w:ascii="Verdana" w:hAnsi="Verdana"/>
          <w:color w:val="000000" w:themeColor="text1"/>
          <w:sz w:val="20"/>
          <w:szCs w:val="20"/>
        </w:rPr>
        <w:t>”</w:t>
      </w:r>
      <w:r w:rsidR="00924D42" w:rsidRPr="00A45056">
        <w:rPr>
          <w:rFonts w:ascii="Verdana" w:hAnsi="Verdana"/>
          <w:color w:val="000000" w:themeColor="text1"/>
          <w:sz w:val="20"/>
          <w:szCs w:val="20"/>
        </w:rPr>
        <w:t xml:space="preserve"> (che prevede una società a controllo pubblico, con socio d’opera privato identificato in un farmacista).</w:t>
      </w:r>
      <w:r w:rsidR="00676DD4" w:rsidRPr="00A45056">
        <w:rPr>
          <w:rFonts w:ascii="Verdana" w:hAnsi="Verdana"/>
          <w:color w:val="000000" w:themeColor="text1"/>
          <w:sz w:val="20"/>
          <w:szCs w:val="20"/>
        </w:rPr>
        <w:t xml:space="preserve"> </w:t>
      </w:r>
    </w:p>
    <w:p w:rsidR="00364A9C" w:rsidRPr="00A45056" w:rsidRDefault="008134EA" w:rsidP="00364A9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Il D.lgs. 267/2000 (TUEL) entrato in vigore il 28 settembre 2000, da un lato abrogava espressamente l’art. 12 comma 1 della L. n. 498/1992 (art. </w:t>
      </w:r>
      <w:r w:rsidR="00364A9C" w:rsidRPr="00A45056">
        <w:rPr>
          <w:rFonts w:ascii="Verdana" w:hAnsi="Verdana"/>
          <w:color w:val="000000" w:themeColor="text1"/>
          <w:sz w:val="20"/>
          <w:szCs w:val="20"/>
        </w:rPr>
        <w:t xml:space="preserve">art. 274, </w:t>
      </w:r>
      <w:proofErr w:type="spellStart"/>
      <w:r w:rsidR="00364A9C" w:rsidRPr="00A45056">
        <w:rPr>
          <w:rFonts w:ascii="Verdana" w:hAnsi="Verdana"/>
          <w:color w:val="000000" w:themeColor="text1"/>
          <w:sz w:val="20"/>
          <w:szCs w:val="20"/>
        </w:rPr>
        <w:t>lett</w:t>
      </w:r>
      <w:proofErr w:type="spellEnd"/>
      <w:r w:rsidR="00364A9C" w:rsidRPr="00A45056">
        <w:rPr>
          <w:rFonts w:ascii="Verdana" w:hAnsi="Verdana"/>
          <w:color w:val="000000" w:themeColor="text1"/>
          <w:sz w:val="20"/>
          <w:szCs w:val="20"/>
        </w:rPr>
        <w:t xml:space="preserve">. </w:t>
      </w:r>
      <w:r w:rsidR="00364A9C" w:rsidRPr="00A45056">
        <w:rPr>
          <w:rFonts w:ascii="Verdana" w:hAnsi="Verdana"/>
          <w:i/>
          <w:color w:val="000000" w:themeColor="text1"/>
          <w:sz w:val="20"/>
          <w:szCs w:val="20"/>
        </w:rPr>
        <w:t>w)</w:t>
      </w:r>
      <w:r w:rsidR="00364A9C" w:rsidRPr="00A45056">
        <w:rPr>
          <w:rFonts w:ascii="Verdana" w:hAnsi="Verdana"/>
          <w:color w:val="000000" w:themeColor="text1"/>
          <w:sz w:val="20"/>
          <w:szCs w:val="20"/>
        </w:rPr>
        <w:t xml:space="preserve">, dall’altro ne riproduceva il contenuto nell’art. 116, che riguarda i servizi pubblici locali privi di rilevanza economica, eliminando la deroga espressa alla Legge Mariotti. </w:t>
      </w:r>
    </w:p>
    <w:p w:rsidR="00E077B1" w:rsidRPr="00A45056" w:rsidRDefault="00364A9C" w:rsidP="00364A9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Ne consegue che al tempo della costituzione del CISS e</w:t>
      </w:r>
      <w:r w:rsidR="0000456B">
        <w:rPr>
          <w:rFonts w:ascii="Verdana" w:hAnsi="Verdana"/>
          <w:color w:val="000000" w:themeColor="text1"/>
          <w:sz w:val="20"/>
          <w:szCs w:val="20"/>
        </w:rPr>
        <w:t xml:space="preserve"> </w:t>
      </w:r>
      <w:r w:rsidRPr="00A45056">
        <w:rPr>
          <w:rFonts w:ascii="Verdana" w:hAnsi="Verdana"/>
          <w:color w:val="000000" w:themeColor="text1"/>
          <w:sz w:val="20"/>
          <w:szCs w:val="20"/>
        </w:rPr>
        <w:t>d</w:t>
      </w:r>
      <w:r w:rsidR="0000456B">
        <w:rPr>
          <w:rFonts w:ascii="Verdana" w:hAnsi="Verdana"/>
          <w:color w:val="000000" w:themeColor="text1"/>
          <w:sz w:val="20"/>
          <w:szCs w:val="20"/>
        </w:rPr>
        <w:t>i</w:t>
      </w:r>
      <w:r w:rsidRPr="00A45056">
        <w:rPr>
          <w:rFonts w:ascii="Verdana" w:hAnsi="Verdana"/>
          <w:color w:val="000000" w:themeColor="text1"/>
          <w:sz w:val="20"/>
          <w:szCs w:val="20"/>
        </w:rPr>
        <w:t xml:space="preserve">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non era più possibile, </w:t>
      </w:r>
      <w:r w:rsidR="006A064D" w:rsidRPr="00A45056">
        <w:rPr>
          <w:rFonts w:ascii="Verdana" w:hAnsi="Verdana"/>
          <w:color w:val="000000" w:themeColor="text1"/>
          <w:sz w:val="20"/>
          <w:szCs w:val="20"/>
        </w:rPr>
        <w:t>nel settore farmaceutico, la costituzione di società miste a capitale privato prevalente.</w:t>
      </w:r>
    </w:p>
    <w:p w:rsidR="006A064D" w:rsidRPr="00A45056" w:rsidRDefault="006A064D" w:rsidP="00364A9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Nel precedente citato</w:t>
      </w:r>
      <w:r w:rsidR="00430A67" w:rsidRPr="00A45056">
        <w:rPr>
          <w:rFonts w:ascii="Verdana" w:hAnsi="Verdana"/>
          <w:color w:val="000000" w:themeColor="text1"/>
          <w:sz w:val="20"/>
          <w:szCs w:val="20"/>
        </w:rPr>
        <w:t xml:space="preserve"> dal CISS</w:t>
      </w:r>
      <w:r w:rsidRPr="00A45056">
        <w:rPr>
          <w:rFonts w:ascii="Verdana" w:hAnsi="Verdana"/>
          <w:color w:val="000000" w:themeColor="text1"/>
          <w:sz w:val="20"/>
          <w:szCs w:val="20"/>
        </w:rPr>
        <w:t>, infatti, il TAR ritiene legittima la costituzione di una società siffatta per l’attività farmaceutica proprio in ragione di tali evidenze di diritto intertemporale.</w:t>
      </w:r>
    </w:p>
    <w:p w:rsidR="006A064D" w:rsidRPr="00A45056" w:rsidRDefault="005A0AFB" w:rsidP="00364A9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color w:val="000000" w:themeColor="text1"/>
          <w:sz w:val="20"/>
          <w:szCs w:val="20"/>
        </w:rPr>
        <w:t xml:space="preserve">5.1.2. </w:t>
      </w:r>
      <w:r w:rsidRPr="00A45056">
        <w:rPr>
          <w:rFonts w:ascii="Verdana" w:hAnsi="Verdana"/>
          <w:color w:val="000000" w:themeColor="text1"/>
          <w:sz w:val="20"/>
          <w:szCs w:val="20"/>
        </w:rPr>
        <w:t xml:space="preserve">In secondo luogo i soggetti sottoposti al controllo hanno citato </w:t>
      </w:r>
      <w:r w:rsidR="0000456B">
        <w:rPr>
          <w:rFonts w:ascii="Verdana" w:hAnsi="Verdana"/>
          <w:color w:val="000000" w:themeColor="text1"/>
          <w:sz w:val="20"/>
          <w:szCs w:val="20"/>
        </w:rPr>
        <w:t>l’</w:t>
      </w:r>
      <w:r w:rsidRPr="00A45056">
        <w:rPr>
          <w:rFonts w:ascii="Verdana" w:hAnsi="Verdana"/>
          <w:color w:val="000000" w:themeColor="text1"/>
          <w:sz w:val="20"/>
          <w:szCs w:val="20"/>
        </w:rPr>
        <w:t xml:space="preserve">orientamento giurisprudenziale secondo cui, anche nel settore farmaceutico </w:t>
      </w:r>
      <w:r w:rsidR="0000456B">
        <w:rPr>
          <w:rFonts w:ascii="Verdana" w:hAnsi="Verdana"/>
          <w:color w:val="000000" w:themeColor="text1"/>
          <w:sz w:val="20"/>
          <w:szCs w:val="20"/>
        </w:rPr>
        <w:t>sono</w:t>
      </w:r>
      <w:r w:rsidR="0000456B" w:rsidRPr="00A45056">
        <w:rPr>
          <w:rFonts w:ascii="Verdana" w:hAnsi="Verdana"/>
          <w:color w:val="000000" w:themeColor="text1"/>
          <w:sz w:val="20"/>
          <w:szCs w:val="20"/>
        </w:rPr>
        <w:t xml:space="preserve"> ammess</w:t>
      </w:r>
      <w:r w:rsidR="0000456B">
        <w:rPr>
          <w:rFonts w:ascii="Verdana" w:hAnsi="Verdana"/>
          <w:color w:val="000000" w:themeColor="text1"/>
          <w:sz w:val="20"/>
          <w:szCs w:val="20"/>
        </w:rPr>
        <w:t>i</w:t>
      </w:r>
      <w:r w:rsidR="0000456B" w:rsidRPr="00A45056">
        <w:rPr>
          <w:rFonts w:ascii="Verdana" w:hAnsi="Verdana"/>
          <w:color w:val="000000" w:themeColor="text1"/>
          <w:sz w:val="20"/>
          <w:szCs w:val="20"/>
        </w:rPr>
        <w:t xml:space="preserve"> </w:t>
      </w:r>
      <w:r w:rsidR="0000456B">
        <w:rPr>
          <w:rFonts w:ascii="Verdana" w:hAnsi="Verdana"/>
          <w:color w:val="000000" w:themeColor="text1"/>
          <w:sz w:val="20"/>
          <w:szCs w:val="20"/>
        </w:rPr>
        <w:t>l’</w:t>
      </w:r>
      <w:r w:rsidRPr="00A45056">
        <w:rPr>
          <w:rFonts w:ascii="Verdana" w:hAnsi="Verdana"/>
          <w:color w:val="000000" w:themeColor="text1"/>
          <w:sz w:val="20"/>
          <w:szCs w:val="20"/>
        </w:rPr>
        <w:t>affidamento</w:t>
      </w:r>
      <w:r w:rsidR="0000456B">
        <w:rPr>
          <w:rFonts w:ascii="Verdana" w:hAnsi="Verdana"/>
          <w:color w:val="000000" w:themeColor="text1"/>
          <w:sz w:val="20"/>
          <w:szCs w:val="20"/>
        </w:rPr>
        <w:t xml:space="preserve"> e</w:t>
      </w:r>
      <w:r w:rsidRPr="00A45056">
        <w:rPr>
          <w:rFonts w:ascii="Verdana" w:hAnsi="Verdana"/>
          <w:color w:val="000000" w:themeColor="text1"/>
          <w:sz w:val="20"/>
          <w:szCs w:val="20"/>
        </w:rPr>
        <w:t xml:space="preserve"> </w:t>
      </w:r>
      <w:r w:rsidR="0000456B" w:rsidRPr="00A45056">
        <w:rPr>
          <w:rFonts w:ascii="Verdana" w:hAnsi="Verdana"/>
          <w:color w:val="000000" w:themeColor="text1"/>
          <w:sz w:val="20"/>
          <w:szCs w:val="20"/>
        </w:rPr>
        <w:t xml:space="preserve">la gestione </w:t>
      </w:r>
      <w:r w:rsidRPr="00A45056">
        <w:rPr>
          <w:rFonts w:ascii="Verdana" w:hAnsi="Verdana"/>
          <w:color w:val="000000" w:themeColor="text1"/>
          <w:sz w:val="20"/>
          <w:szCs w:val="20"/>
        </w:rPr>
        <w:t xml:space="preserve">del </w:t>
      </w:r>
      <w:r w:rsidR="000E1366" w:rsidRPr="00A45056">
        <w:rPr>
          <w:rFonts w:ascii="Verdana" w:hAnsi="Verdana"/>
          <w:color w:val="000000" w:themeColor="text1"/>
          <w:sz w:val="20"/>
          <w:szCs w:val="20"/>
        </w:rPr>
        <w:t>servizio</w:t>
      </w:r>
      <w:r w:rsidRPr="00A45056">
        <w:rPr>
          <w:rFonts w:ascii="Verdana" w:hAnsi="Verdana"/>
          <w:color w:val="000000" w:themeColor="text1"/>
          <w:sz w:val="20"/>
          <w:szCs w:val="20"/>
        </w:rPr>
        <w:t xml:space="preserve"> con concessione o </w:t>
      </w:r>
      <w:r w:rsidR="0000456B">
        <w:rPr>
          <w:rFonts w:ascii="Verdana" w:hAnsi="Verdana"/>
          <w:color w:val="000000" w:themeColor="text1"/>
          <w:sz w:val="20"/>
          <w:szCs w:val="20"/>
        </w:rPr>
        <w:t xml:space="preserve">con </w:t>
      </w:r>
      <w:r w:rsidRPr="00A45056">
        <w:rPr>
          <w:rFonts w:ascii="Verdana" w:hAnsi="Verdana"/>
          <w:color w:val="000000" w:themeColor="text1"/>
          <w:sz w:val="20"/>
          <w:szCs w:val="20"/>
        </w:rPr>
        <w:t xml:space="preserve">schemi negoziali </w:t>
      </w:r>
      <w:r w:rsidR="0000456B">
        <w:rPr>
          <w:rFonts w:ascii="Verdana" w:hAnsi="Verdana"/>
          <w:color w:val="000000" w:themeColor="text1"/>
          <w:sz w:val="20"/>
          <w:szCs w:val="20"/>
        </w:rPr>
        <w:t xml:space="preserve">che </w:t>
      </w:r>
      <w:r w:rsidRPr="00A45056">
        <w:rPr>
          <w:rFonts w:ascii="Verdana" w:hAnsi="Verdana"/>
          <w:color w:val="000000" w:themeColor="text1"/>
          <w:sz w:val="20"/>
          <w:szCs w:val="20"/>
        </w:rPr>
        <w:t xml:space="preserve">ne producono </w:t>
      </w:r>
      <w:r w:rsidR="000E1366" w:rsidRPr="00A45056">
        <w:rPr>
          <w:rFonts w:ascii="Verdana" w:hAnsi="Verdana"/>
          <w:color w:val="000000" w:themeColor="text1"/>
          <w:sz w:val="20"/>
          <w:szCs w:val="20"/>
        </w:rPr>
        <w:t>funzionalmente</w:t>
      </w:r>
      <w:r w:rsidRPr="00A45056">
        <w:rPr>
          <w:rFonts w:ascii="Verdana" w:hAnsi="Verdana"/>
          <w:color w:val="000000" w:themeColor="text1"/>
          <w:sz w:val="20"/>
          <w:szCs w:val="20"/>
        </w:rPr>
        <w:t xml:space="preserve"> lo stesso effetto, come il caso della società mista a capitale privato </w:t>
      </w:r>
      <w:r w:rsidR="000E1366" w:rsidRPr="00A45056">
        <w:rPr>
          <w:rFonts w:ascii="Verdana" w:hAnsi="Verdana"/>
          <w:color w:val="000000" w:themeColor="text1"/>
          <w:sz w:val="20"/>
          <w:szCs w:val="20"/>
        </w:rPr>
        <w:t>prevalente</w:t>
      </w:r>
      <w:r w:rsidRPr="00A45056">
        <w:rPr>
          <w:rFonts w:ascii="Verdana" w:hAnsi="Verdana"/>
          <w:color w:val="000000" w:themeColor="text1"/>
          <w:sz w:val="20"/>
          <w:szCs w:val="20"/>
        </w:rPr>
        <w:t>.</w:t>
      </w:r>
    </w:p>
    <w:p w:rsidR="005A0AFB" w:rsidRPr="00A45056" w:rsidRDefault="00966061" w:rsidP="00364A9C">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Preliminarmente occorre rammentare che la Corte dei conti </w:t>
      </w:r>
      <w:r w:rsidR="00584C38" w:rsidRPr="00A45056">
        <w:rPr>
          <w:rFonts w:ascii="Verdana" w:hAnsi="Verdana"/>
          <w:color w:val="000000" w:themeColor="text1"/>
          <w:sz w:val="20"/>
          <w:szCs w:val="20"/>
        </w:rPr>
        <w:t xml:space="preserve">(cfr. SRC Lombardia deliberazioni n. 70/2011/PAR; n. 657/2011/PAR; n. 49/2012/PAR e n. 446/2012/PAR; n. 26/2013/PAR) </w:t>
      </w:r>
      <w:r w:rsidRPr="00A45056">
        <w:rPr>
          <w:rFonts w:ascii="Verdana" w:hAnsi="Verdana"/>
          <w:color w:val="000000" w:themeColor="text1"/>
          <w:sz w:val="20"/>
          <w:szCs w:val="20"/>
        </w:rPr>
        <w:t xml:space="preserve">e parte della giurisprudenza amministrativa </w:t>
      </w:r>
      <w:r w:rsidR="00584C38" w:rsidRPr="00A45056">
        <w:rPr>
          <w:rFonts w:ascii="Verdana" w:hAnsi="Verdana"/>
          <w:color w:val="000000" w:themeColor="text1"/>
          <w:sz w:val="20"/>
          <w:szCs w:val="20"/>
        </w:rPr>
        <w:t xml:space="preserve">(cfr. in questo senso TAR Piemonte, Sez. II, sentenza 14 giugno 2013, n. 767) </w:t>
      </w:r>
      <w:r w:rsidRPr="00A45056">
        <w:rPr>
          <w:rFonts w:ascii="Verdana" w:hAnsi="Verdana"/>
          <w:color w:val="000000" w:themeColor="text1"/>
          <w:sz w:val="20"/>
          <w:szCs w:val="20"/>
        </w:rPr>
        <w:t>seguono un orientamento contrario</w:t>
      </w:r>
      <w:r w:rsidR="00AE445C" w:rsidRPr="00A45056">
        <w:rPr>
          <w:rFonts w:ascii="Verdana" w:hAnsi="Verdana"/>
          <w:color w:val="000000" w:themeColor="text1"/>
          <w:sz w:val="20"/>
          <w:szCs w:val="20"/>
        </w:rPr>
        <w:t>.</w:t>
      </w:r>
    </w:p>
    <w:p w:rsidR="005E025D" w:rsidRPr="00A45056" w:rsidRDefault="005E025D" w:rsidP="005E025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 estrema sintesi:</w:t>
      </w:r>
    </w:p>
    <w:p w:rsidR="005E025D" w:rsidRPr="00A45056" w:rsidRDefault="005E025D" w:rsidP="005E025D">
      <w:pPr>
        <w:numPr>
          <w:ilvl w:val="0"/>
          <w:numId w:val="40"/>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 xml:space="preserve">la Corte, privilegiando un percorso esegetico teso a valorizzare la finalità sociale dell’attività (deliberazione 70/2011/PAR del 3 febbraio 2011), ha conseguentemente sostenuto che anche la facoltà di scelta del modello </w:t>
      </w:r>
      <w:proofErr w:type="spellStart"/>
      <w:r w:rsidRPr="00A45056">
        <w:rPr>
          <w:rFonts w:ascii="Verdana" w:hAnsi="Verdana"/>
          <w:color w:val="000000" w:themeColor="text1"/>
          <w:sz w:val="20"/>
          <w:szCs w:val="20"/>
        </w:rPr>
        <w:t>gestorio</w:t>
      </w:r>
      <w:proofErr w:type="spellEnd"/>
      <w:r w:rsidRPr="00A45056">
        <w:rPr>
          <w:rFonts w:ascii="Verdana" w:hAnsi="Verdana"/>
          <w:color w:val="000000" w:themeColor="text1"/>
          <w:sz w:val="20"/>
          <w:szCs w:val="20"/>
        </w:rPr>
        <w:t xml:space="preserve"> da parte dei comuni che esercitano la prelazione, incontra i limiti, discendenti dall’impianto generale della legge n. 475/1968, tesi, in particolare, a valorizzare la funzione sociale dell’attività farmaceutica (il diritto di prelazione a favore del Comune ne costituisce una delle espressioni);</w:t>
      </w:r>
    </w:p>
    <w:p w:rsidR="005E025D" w:rsidRPr="00A45056" w:rsidRDefault="005E025D" w:rsidP="005E025D">
      <w:pPr>
        <w:numPr>
          <w:ilvl w:val="0"/>
          <w:numId w:val="40"/>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se</w:t>
      </w:r>
      <w:proofErr w:type="gramEnd"/>
      <w:r w:rsidRPr="00A45056">
        <w:rPr>
          <w:rFonts w:ascii="Verdana" w:hAnsi="Verdana"/>
          <w:color w:val="000000" w:themeColor="text1"/>
          <w:sz w:val="20"/>
          <w:szCs w:val="20"/>
        </w:rPr>
        <w:t xml:space="preserve"> l’amministrazione esercita la prelazione, l’opzione presuppone, infatti, la decisione a monte di assumere direttamente la gestione del servizio nelle forme previste dalla legge Mariotti o nelle forme che comunque assicurino un diretto e concomitante controllo sulla gestione.</w:t>
      </w:r>
    </w:p>
    <w:p w:rsidR="005E025D" w:rsidRPr="00A45056" w:rsidRDefault="00EC78E6" w:rsidP="005E025D">
      <w:pPr>
        <w:shd w:val="clear" w:color="auto" w:fill="FEFFFF"/>
        <w:spacing w:line="360" w:lineRule="auto"/>
        <w:ind w:firstLine="708"/>
        <w:jc w:val="both"/>
        <w:rPr>
          <w:rFonts w:ascii="Verdana" w:hAnsi="Verdana"/>
          <w:color w:val="000000" w:themeColor="text1"/>
          <w:sz w:val="20"/>
          <w:szCs w:val="20"/>
        </w:rPr>
      </w:pPr>
      <w:r>
        <w:rPr>
          <w:rFonts w:ascii="Verdana" w:hAnsi="Verdana"/>
          <w:color w:val="000000" w:themeColor="text1"/>
          <w:sz w:val="20"/>
          <w:szCs w:val="20"/>
        </w:rPr>
        <w:t>Si è ritenuto dunque che, p</w:t>
      </w:r>
      <w:r w:rsidR="005E025D" w:rsidRPr="00A45056">
        <w:rPr>
          <w:rFonts w:ascii="Verdana" w:hAnsi="Verdana"/>
          <w:color w:val="000000" w:themeColor="text1"/>
          <w:sz w:val="20"/>
          <w:szCs w:val="20"/>
        </w:rPr>
        <w:t xml:space="preserve">er scelta legislativa, con il sistema delineato dalla Legge Mariotti, si </w:t>
      </w:r>
      <w:r>
        <w:rPr>
          <w:rFonts w:ascii="Verdana" w:hAnsi="Verdana"/>
          <w:color w:val="000000" w:themeColor="text1"/>
          <w:sz w:val="20"/>
          <w:szCs w:val="20"/>
        </w:rPr>
        <w:t>sia voluto vietare</w:t>
      </w:r>
      <w:r w:rsidR="005E025D" w:rsidRPr="00A45056">
        <w:rPr>
          <w:rFonts w:ascii="Verdana" w:hAnsi="Verdana"/>
          <w:color w:val="000000" w:themeColor="text1"/>
          <w:sz w:val="20"/>
          <w:szCs w:val="20"/>
        </w:rPr>
        <w:t xml:space="preserve"> </w:t>
      </w:r>
      <w:r>
        <w:rPr>
          <w:rFonts w:ascii="Verdana" w:hAnsi="Verdana"/>
          <w:color w:val="000000" w:themeColor="text1"/>
          <w:sz w:val="20"/>
          <w:szCs w:val="20"/>
        </w:rPr>
        <w:t>la</w:t>
      </w:r>
      <w:r w:rsidR="005E025D" w:rsidRPr="00A45056">
        <w:rPr>
          <w:rFonts w:ascii="Verdana" w:hAnsi="Verdana"/>
          <w:color w:val="000000" w:themeColor="text1"/>
          <w:sz w:val="20"/>
          <w:szCs w:val="20"/>
        </w:rPr>
        <w:t xml:space="preserve"> scissione tra titolarità e gestione del servizio pubblico farmaceutico</w:t>
      </w:r>
      <w:r>
        <w:rPr>
          <w:rFonts w:ascii="Verdana" w:hAnsi="Verdana"/>
          <w:color w:val="000000" w:themeColor="text1"/>
          <w:sz w:val="20"/>
          <w:szCs w:val="20"/>
        </w:rPr>
        <w:t xml:space="preserve">, in quanto si </w:t>
      </w:r>
      <w:r w:rsidR="003E653E">
        <w:rPr>
          <w:rFonts w:ascii="Verdana" w:hAnsi="Verdana"/>
          <w:color w:val="000000" w:themeColor="text1"/>
          <w:sz w:val="20"/>
          <w:szCs w:val="20"/>
        </w:rPr>
        <w:t>assume</w:t>
      </w:r>
      <w:r>
        <w:rPr>
          <w:rFonts w:ascii="Verdana" w:hAnsi="Verdana"/>
          <w:color w:val="000000" w:themeColor="text1"/>
          <w:sz w:val="20"/>
          <w:szCs w:val="20"/>
        </w:rPr>
        <w:t xml:space="preserve"> che la stessa</w:t>
      </w:r>
      <w:r w:rsidR="005E025D" w:rsidRPr="00A45056">
        <w:rPr>
          <w:rFonts w:ascii="Verdana" w:hAnsi="Verdana"/>
          <w:color w:val="000000" w:themeColor="text1"/>
          <w:sz w:val="20"/>
          <w:szCs w:val="20"/>
        </w:rPr>
        <w:t xml:space="preserve"> non </w:t>
      </w:r>
      <w:proofErr w:type="spellStart"/>
      <w:r w:rsidR="005E025D" w:rsidRPr="00A45056">
        <w:rPr>
          <w:rFonts w:ascii="Verdana" w:hAnsi="Verdana"/>
          <w:color w:val="000000" w:themeColor="text1"/>
          <w:sz w:val="20"/>
          <w:szCs w:val="20"/>
        </w:rPr>
        <w:t>garantisca</w:t>
      </w:r>
      <w:proofErr w:type="spellEnd"/>
      <w:r w:rsidR="005E025D" w:rsidRPr="00A45056">
        <w:rPr>
          <w:rFonts w:ascii="Verdana" w:hAnsi="Verdana"/>
          <w:color w:val="000000" w:themeColor="text1"/>
          <w:sz w:val="20"/>
          <w:szCs w:val="20"/>
        </w:rPr>
        <w:t xml:space="preserve"> “astrattamente” gli obiettivi di rilevanza sociale che giustificano la prelazione e la sottrazione </w:t>
      </w:r>
      <w:r w:rsidR="00DE332D">
        <w:rPr>
          <w:rFonts w:ascii="Verdana" w:hAnsi="Verdana"/>
          <w:color w:val="000000" w:themeColor="text1"/>
          <w:sz w:val="20"/>
          <w:szCs w:val="20"/>
        </w:rPr>
        <w:t xml:space="preserve">della sede farmaceutica </w:t>
      </w:r>
      <w:r w:rsidR="005E025D" w:rsidRPr="00A45056">
        <w:rPr>
          <w:rFonts w:ascii="Verdana" w:hAnsi="Verdana"/>
          <w:color w:val="000000" w:themeColor="text1"/>
          <w:sz w:val="20"/>
          <w:szCs w:val="20"/>
        </w:rPr>
        <w:t xml:space="preserve">alla competizione dei privati </w:t>
      </w:r>
      <w:r w:rsidR="00382100" w:rsidRPr="00A45056">
        <w:rPr>
          <w:rFonts w:ascii="Verdana" w:hAnsi="Verdana"/>
          <w:color w:val="000000" w:themeColor="text1"/>
          <w:sz w:val="20"/>
          <w:szCs w:val="20"/>
        </w:rPr>
        <w:t>per la</w:t>
      </w:r>
      <w:r w:rsidR="00584C38" w:rsidRPr="00A45056">
        <w:rPr>
          <w:rFonts w:ascii="Verdana" w:hAnsi="Verdana"/>
          <w:color w:val="000000" w:themeColor="text1"/>
          <w:sz w:val="20"/>
          <w:szCs w:val="20"/>
        </w:rPr>
        <w:t xml:space="preserve"> </w:t>
      </w:r>
      <w:r w:rsidR="00DE332D">
        <w:rPr>
          <w:rFonts w:ascii="Verdana" w:hAnsi="Verdana"/>
          <w:color w:val="000000" w:themeColor="text1"/>
          <w:sz w:val="20"/>
          <w:szCs w:val="20"/>
        </w:rPr>
        <w:t xml:space="preserve">sua </w:t>
      </w:r>
      <w:r w:rsidR="00584C38" w:rsidRPr="00A45056">
        <w:rPr>
          <w:rFonts w:ascii="Verdana" w:hAnsi="Verdana"/>
          <w:color w:val="000000" w:themeColor="text1"/>
          <w:sz w:val="20"/>
          <w:szCs w:val="20"/>
        </w:rPr>
        <w:t>titolarità</w:t>
      </w:r>
      <w:r w:rsidR="00382100" w:rsidRPr="00A45056">
        <w:rPr>
          <w:rFonts w:ascii="Verdana" w:hAnsi="Verdana"/>
          <w:color w:val="000000" w:themeColor="text1"/>
          <w:sz w:val="20"/>
          <w:szCs w:val="20"/>
        </w:rPr>
        <w:t xml:space="preserve">, </w:t>
      </w:r>
      <w:r w:rsidR="005E025D" w:rsidRPr="00A45056">
        <w:rPr>
          <w:rFonts w:ascii="Verdana" w:hAnsi="Verdana"/>
          <w:color w:val="000000" w:themeColor="text1"/>
          <w:sz w:val="20"/>
          <w:szCs w:val="20"/>
        </w:rPr>
        <w:t xml:space="preserve">in </w:t>
      </w:r>
      <w:r w:rsidR="00382100" w:rsidRPr="00A45056">
        <w:rPr>
          <w:rFonts w:ascii="Verdana" w:hAnsi="Verdana"/>
          <w:color w:val="000000" w:themeColor="text1"/>
          <w:sz w:val="20"/>
          <w:szCs w:val="20"/>
        </w:rPr>
        <w:t>ambito</w:t>
      </w:r>
      <w:r w:rsidR="005E025D" w:rsidRPr="00A45056">
        <w:rPr>
          <w:rFonts w:ascii="Verdana" w:hAnsi="Verdana"/>
          <w:color w:val="000000" w:themeColor="text1"/>
          <w:sz w:val="20"/>
          <w:szCs w:val="20"/>
        </w:rPr>
        <w:t xml:space="preserve"> regionale. </w:t>
      </w:r>
    </w:p>
    <w:p w:rsidR="00B8767D" w:rsidRPr="00A45056" w:rsidRDefault="001312BD" w:rsidP="005E025D">
      <w:pPr>
        <w:shd w:val="clear" w:color="auto" w:fill="FEFFFF"/>
        <w:spacing w:line="360" w:lineRule="auto"/>
        <w:ind w:firstLine="708"/>
        <w:jc w:val="both"/>
        <w:rPr>
          <w:rFonts w:ascii="Verdana" w:hAnsi="Verdana"/>
          <w:color w:val="000000" w:themeColor="text1"/>
          <w:sz w:val="20"/>
          <w:szCs w:val="20"/>
        </w:rPr>
      </w:pPr>
      <w:r>
        <w:rPr>
          <w:rFonts w:ascii="Verdana" w:hAnsi="Verdana"/>
          <w:color w:val="000000" w:themeColor="text1"/>
          <w:sz w:val="20"/>
          <w:szCs w:val="20"/>
        </w:rPr>
        <w:lastRenderedPageBreak/>
        <w:t>È in quest’ottica</w:t>
      </w:r>
      <w:r w:rsidR="00960257">
        <w:rPr>
          <w:rFonts w:ascii="Verdana" w:hAnsi="Verdana"/>
          <w:color w:val="000000" w:themeColor="text1"/>
          <w:sz w:val="20"/>
          <w:szCs w:val="20"/>
        </w:rPr>
        <w:t xml:space="preserve"> che</w:t>
      </w:r>
      <w:r w:rsidR="002D37F7">
        <w:rPr>
          <w:rFonts w:ascii="Verdana" w:hAnsi="Verdana"/>
          <w:color w:val="000000" w:themeColor="text1"/>
          <w:sz w:val="20"/>
          <w:szCs w:val="20"/>
        </w:rPr>
        <w:t xml:space="preserve"> rest</w:t>
      </w:r>
      <w:r w:rsidR="00960257">
        <w:rPr>
          <w:rFonts w:ascii="Verdana" w:hAnsi="Verdana"/>
          <w:color w:val="000000" w:themeColor="text1"/>
          <w:sz w:val="20"/>
          <w:szCs w:val="20"/>
        </w:rPr>
        <w:t xml:space="preserve">a </w:t>
      </w:r>
      <w:r w:rsidR="00B8767D" w:rsidRPr="00A45056">
        <w:rPr>
          <w:rFonts w:ascii="Verdana" w:hAnsi="Verdana"/>
          <w:color w:val="000000" w:themeColor="text1"/>
          <w:sz w:val="20"/>
          <w:szCs w:val="20"/>
        </w:rPr>
        <w:t xml:space="preserve">escluso </w:t>
      </w:r>
      <w:r w:rsidR="00960257">
        <w:rPr>
          <w:rFonts w:ascii="Verdana" w:hAnsi="Verdana"/>
          <w:color w:val="000000" w:themeColor="text1"/>
          <w:sz w:val="20"/>
          <w:szCs w:val="20"/>
        </w:rPr>
        <w:t>– dall’elenco</w:t>
      </w:r>
      <w:r w:rsidR="004425AA">
        <w:rPr>
          <w:rFonts w:ascii="Verdana" w:hAnsi="Verdana"/>
          <w:color w:val="000000" w:themeColor="text1"/>
          <w:sz w:val="20"/>
          <w:szCs w:val="20"/>
        </w:rPr>
        <w:t xml:space="preserve"> dell’art. 9 della Legge Mariotti</w:t>
      </w:r>
      <w:r w:rsidR="00960257">
        <w:rPr>
          <w:rFonts w:ascii="Verdana" w:hAnsi="Verdana"/>
          <w:color w:val="000000" w:themeColor="text1"/>
          <w:sz w:val="20"/>
          <w:szCs w:val="20"/>
        </w:rPr>
        <w:t xml:space="preserve"> – </w:t>
      </w:r>
      <w:r w:rsidR="00B8767D" w:rsidRPr="00A45056">
        <w:rPr>
          <w:rFonts w:ascii="Verdana" w:hAnsi="Verdana"/>
          <w:color w:val="000000" w:themeColor="text1"/>
          <w:sz w:val="20"/>
          <w:szCs w:val="20"/>
        </w:rPr>
        <w:t xml:space="preserve">il ricorso alla concessione a terzi, mentre la possibile costituzione di </w:t>
      </w:r>
      <w:r w:rsidR="005E025D" w:rsidRPr="00A45056">
        <w:rPr>
          <w:rFonts w:ascii="Verdana" w:hAnsi="Verdana"/>
          <w:color w:val="000000" w:themeColor="text1"/>
          <w:sz w:val="20"/>
          <w:szCs w:val="20"/>
        </w:rPr>
        <w:t xml:space="preserve">società </w:t>
      </w:r>
      <w:r w:rsidR="00912574" w:rsidRPr="00A45056">
        <w:rPr>
          <w:rFonts w:ascii="Verdana" w:hAnsi="Verdana"/>
          <w:color w:val="000000" w:themeColor="text1"/>
          <w:sz w:val="20"/>
          <w:szCs w:val="20"/>
        </w:rPr>
        <w:t>m</w:t>
      </w:r>
      <w:r w:rsidR="00B8767D" w:rsidRPr="00A45056">
        <w:rPr>
          <w:rFonts w:ascii="Verdana" w:hAnsi="Verdana"/>
          <w:color w:val="000000" w:themeColor="text1"/>
          <w:sz w:val="20"/>
          <w:szCs w:val="20"/>
        </w:rPr>
        <w:t xml:space="preserve">ista </w:t>
      </w:r>
      <w:r w:rsidR="004425AA">
        <w:rPr>
          <w:rFonts w:ascii="Verdana" w:hAnsi="Verdana"/>
          <w:color w:val="000000" w:themeColor="text1"/>
          <w:sz w:val="20"/>
          <w:szCs w:val="20"/>
        </w:rPr>
        <w:t>continua a presupporre i</w:t>
      </w:r>
      <w:r w:rsidR="00B8767D" w:rsidRPr="00A45056">
        <w:rPr>
          <w:rFonts w:ascii="Verdana" w:hAnsi="Verdana"/>
          <w:color w:val="000000" w:themeColor="text1"/>
          <w:sz w:val="20"/>
          <w:szCs w:val="20"/>
        </w:rPr>
        <w:t xml:space="preserve">l vincolo maggioritario pubblico ed </w:t>
      </w:r>
      <w:r w:rsidR="002D37F7">
        <w:rPr>
          <w:rFonts w:ascii="Verdana" w:hAnsi="Verdana"/>
          <w:color w:val="000000" w:themeColor="text1"/>
          <w:sz w:val="20"/>
          <w:szCs w:val="20"/>
        </w:rPr>
        <w:t>è</w:t>
      </w:r>
      <w:r w:rsidR="002D37F7" w:rsidRPr="00A45056">
        <w:rPr>
          <w:rFonts w:ascii="Verdana" w:hAnsi="Verdana"/>
          <w:color w:val="000000" w:themeColor="text1"/>
          <w:sz w:val="20"/>
          <w:szCs w:val="20"/>
        </w:rPr>
        <w:t xml:space="preserve"> </w:t>
      </w:r>
      <w:r w:rsidR="00B8767D" w:rsidRPr="00A45056">
        <w:rPr>
          <w:rFonts w:ascii="Verdana" w:hAnsi="Verdana"/>
          <w:color w:val="000000" w:themeColor="text1"/>
          <w:sz w:val="20"/>
          <w:szCs w:val="20"/>
        </w:rPr>
        <w:t>comunque giustificato</w:t>
      </w:r>
      <w:r w:rsidR="005E025D" w:rsidRPr="00A45056">
        <w:rPr>
          <w:rFonts w:ascii="Verdana" w:hAnsi="Verdana"/>
          <w:color w:val="000000" w:themeColor="text1"/>
          <w:sz w:val="20"/>
          <w:szCs w:val="20"/>
        </w:rPr>
        <w:t xml:space="preserve"> solo con riguardo all’ipotesi del socio d’opera, onde consentire all’ente di accedere all’</w:t>
      </w:r>
      <w:r w:rsidR="005E025D" w:rsidRPr="00A45056">
        <w:rPr>
          <w:rFonts w:ascii="Verdana" w:hAnsi="Verdana"/>
          <w:i/>
          <w:color w:val="000000" w:themeColor="text1"/>
          <w:sz w:val="20"/>
          <w:szCs w:val="20"/>
        </w:rPr>
        <w:t>expertise</w:t>
      </w:r>
      <w:r w:rsidR="005E025D" w:rsidRPr="00A45056">
        <w:rPr>
          <w:rFonts w:ascii="Verdana" w:hAnsi="Verdana"/>
          <w:color w:val="000000" w:themeColor="text1"/>
          <w:sz w:val="20"/>
          <w:szCs w:val="20"/>
        </w:rPr>
        <w:t xml:space="preserve"> di farmacisti con una forma contrattuale</w:t>
      </w:r>
      <w:r w:rsidR="00B8767D" w:rsidRPr="00A45056">
        <w:rPr>
          <w:rFonts w:ascii="Verdana" w:hAnsi="Verdana"/>
          <w:color w:val="000000" w:themeColor="text1"/>
          <w:sz w:val="20"/>
          <w:szCs w:val="20"/>
        </w:rPr>
        <w:t xml:space="preserve"> diversa dal rapporto di lavoro.</w:t>
      </w:r>
    </w:p>
    <w:p w:rsidR="005E025D" w:rsidRPr="00A45056" w:rsidRDefault="00B8767D" w:rsidP="005E025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In buona sostanza non sono ammesse forme di gestione che </w:t>
      </w:r>
      <w:r w:rsidR="00584C38" w:rsidRPr="00A45056">
        <w:rPr>
          <w:rFonts w:ascii="Verdana" w:hAnsi="Verdana"/>
          <w:color w:val="000000" w:themeColor="text1"/>
          <w:sz w:val="20"/>
          <w:szCs w:val="20"/>
        </w:rPr>
        <w:t xml:space="preserve">non </w:t>
      </w:r>
      <w:r w:rsidR="00002EB3" w:rsidRPr="00A45056">
        <w:rPr>
          <w:rFonts w:ascii="Verdana" w:hAnsi="Verdana"/>
          <w:color w:val="000000" w:themeColor="text1"/>
          <w:sz w:val="20"/>
          <w:szCs w:val="20"/>
        </w:rPr>
        <w:t>assicur</w:t>
      </w:r>
      <w:r w:rsidR="00002EB3">
        <w:rPr>
          <w:rFonts w:ascii="Verdana" w:hAnsi="Verdana"/>
          <w:color w:val="000000" w:themeColor="text1"/>
          <w:sz w:val="20"/>
          <w:szCs w:val="20"/>
        </w:rPr>
        <w:t>i</w:t>
      </w:r>
      <w:r w:rsidR="00002EB3" w:rsidRPr="00A45056">
        <w:rPr>
          <w:rFonts w:ascii="Verdana" w:hAnsi="Verdana"/>
          <w:color w:val="000000" w:themeColor="text1"/>
          <w:sz w:val="20"/>
          <w:szCs w:val="20"/>
        </w:rPr>
        <w:t xml:space="preserve">no </w:t>
      </w:r>
      <w:r w:rsidR="005E025D" w:rsidRPr="00A45056">
        <w:rPr>
          <w:rFonts w:ascii="Verdana" w:hAnsi="Verdana"/>
          <w:color w:val="000000" w:themeColor="text1"/>
          <w:sz w:val="20"/>
          <w:szCs w:val="20"/>
        </w:rPr>
        <w:t>la sostanziale coincidenza tra titolarità e gestione della farmacia.</w:t>
      </w:r>
    </w:p>
    <w:p w:rsidR="005E025D" w:rsidRPr="00A45056" w:rsidRDefault="00CD1A91" w:rsidP="005E025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w:t>
      </w:r>
      <w:r w:rsidR="005E025D" w:rsidRPr="00A45056">
        <w:rPr>
          <w:rFonts w:ascii="Verdana" w:hAnsi="Verdana"/>
          <w:color w:val="000000" w:themeColor="text1"/>
          <w:sz w:val="20"/>
          <w:szCs w:val="20"/>
        </w:rPr>
        <w:t>n chiave evolutiva, apertosi il sistema alla gestione dei servizi anche a mezzo di soggetti di diritto privato (principio della neutralità della forma giuridica, cfr. art. 1 L. n. 241/1990), è stato possibile estendere le modalità di gestione del catalogo di cui all’art. 9 della Legge Mariotti purché rispettose dell’</w:t>
      </w:r>
      <w:proofErr w:type="spellStart"/>
      <w:r w:rsidR="005E025D" w:rsidRPr="00A45056">
        <w:rPr>
          <w:rFonts w:ascii="Verdana" w:hAnsi="Verdana"/>
          <w:i/>
          <w:color w:val="000000" w:themeColor="text1"/>
          <w:sz w:val="20"/>
          <w:szCs w:val="20"/>
        </w:rPr>
        <w:t>eadem</w:t>
      </w:r>
      <w:proofErr w:type="spellEnd"/>
      <w:r w:rsidR="005E025D" w:rsidRPr="00A45056">
        <w:rPr>
          <w:rFonts w:ascii="Verdana" w:hAnsi="Verdana"/>
          <w:i/>
          <w:color w:val="000000" w:themeColor="text1"/>
          <w:sz w:val="20"/>
          <w:szCs w:val="20"/>
        </w:rPr>
        <w:t xml:space="preserve"> ratio</w:t>
      </w:r>
      <w:r w:rsidR="005E025D" w:rsidRPr="00A45056">
        <w:rPr>
          <w:rFonts w:ascii="Verdana" w:hAnsi="Verdana"/>
          <w:color w:val="000000" w:themeColor="text1"/>
          <w:sz w:val="20"/>
          <w:szCs w:val="20"/>
        </w:rPr>
        <w:t xml:space="preserve"> della disciplina</w:t>
      </w:r>
      <w:r w:rsidRPr="00A45056">
        <w:rPr>
          <w:rFonts w:ascii="Verdana" w:hAnsi="Verdana"/>
          <w:color w:val="000000" w:themeColor="text1"/>
          <w:sz w:val="20"/>
          <w:szCs w:val="20"/>
        </w:rPr>
        <w:t xml:space="preserve"> di settore</w:t>
      </w:r>
      <w:r w:rsidR="005E025D" w:rsidRPr="00A45056">
        <w:rPr>
          <w:rFonts w:ascii="Verdana" w:hAnsi="Verdana"/>
          <w:color w:val="000000" w:themeColor="text1"/>
          <w:sz w:val="20"/>
          <w:szCs w:val="20"/>
        </w:rPr>
        <w:t xml:space="preserve">, vale a dire </w:t>
      </w:r>
      <w:r w:rsidR="00002EB3">
        <w:rPr>
          <w:rFonts w:ascii="Verdana" w:hAnsi="Verdana"/>
          <w:color w:val="000000" w:themeColor="text1"/>
          <w:sz w:val="20"/>
          <w:szCs w:val="20"/>
        </w:rPr>
        <w:t>de</w:t>
      </w:r>
      <w:r w:rsidR="005E025D" w:rsidRPr="00A45056">
        <w:rPr>
          <w:rFonts w:ascii="Verdana" w:hAnsi="Verdana"/>
          <w:color w:val="000000" w:themeColor="text1"/>
          <w:sz w:val="20"/>
          <w:szCs w:val="20"/>
        </w:rPr>
        <w:t xml:space="preserve">l principio di non separabilità della titolarità </w:t>
      </w:r>
      <w:r w:rsidR="00002EB3" w:rsidRPr="00A45056">
        <w:rPr>
          <w:rFonts w:ascii="Verdana" w:hAnsi="Verdana"/>
          <w:color w:val="000000" w:themeColor="text1"/>
          <w:sz w:val="20"/>
          <w:szCs w:val="20"/>
        </w:rPr>
        <w:t>d</w:t>
      </w:r>
      <w:r w:rsidR="00002EB3">
        <w:rPr>
          <w:rFonts w:ascii="Verdana" w:hAnsi="Verdana"/>
          <w:color w:val="000000" w:themeColor="text1"/>
          <w:sz w:val="20"/>
          <w:szCs w:val="20"/>
        </w:rPr>
        <w:t>a</w:t>
      </w:r>
      <w:r w:rsidR="00002EB3" w:rsidRPr="00A45056">
        <w:rPr>
          <w:rFonts w:ascii="Verdana" w:hAnsi="Verdana"/>
          <w:color w:val="000000" w:themeColor="text1"/>
          <w:sz w:val="20"/>
          <w:szCs w:val="20"/>
        </w:rPr>
        <w:t xml:space="preserve">lla </w:t>
      </w:r>
      <w:r w:rsidR="005E025D" w:rsidRPr="00A45056">
        <w:rPr>
          <w:rFonts w:ascii="Verdana" w:hAnsi="Verdana"/>
          <w:color w:val="000000" w:themeColor="text1"/>
          <w:sz w:val="20"/>
          <w:szCs w:val="20"/>
        </w:rPr>
        <w:t xml:space="preserve">gestione (solo in questo </w:t>
      </w:r>
      <w:proofErr w:type="gramStart"/>
      <w:r w:rsidR="005E025D" w:rsidRPr="00A45056">
        <w:rPr>
          <w:rFonts w:ascii="Verdana" w:hAnsi="Verdana"/>
          <w:color w:val="000000" w:themeColor="text1"/>
          <w:sz w:val="20"/>
          <w:szCs w:val="20"/>
        </w:rPr>
        <w:t>senso  SRC</w:t>
      </w:r>
      <w:proofErr w:type="gramEnd"/>
      <w:r w:rsidR="005E025D" w:rsidRPr="00A45056">
        <w:rPr>
          <w:rFonts w:ascii="Verdana" w:hAnsi="Verdana"/>
          <w:color w:val="000000" w:themeColor="text1"/>
          <w:sz w:val="20"/>
          <w:szCs w:val="20"/>
        </w:rPr>
        <w:t xml:space="preserve"> Lombardia. </w:t>
      </w:r>
      <w:proofErr w:type="spellStart"/>
      <w:proofErr w:type="gramStart"/>
      <w:r w:rsidR="005E025D" w:rsidRPr="00A45056">
        <w:rPr>
          <w:rFonts w:ascii="Verdana" w:hAnsi="Verdana"/>
          <w:color w:val="000000" w:themeColor="text1"/>
          <w:sz w:val="20"/>
          <w:szCs w:val="20"/>
        </w:rPr>
        <w:t>nn</w:t>
      </w:r>
      <w:proofErr w:type="spellEnd"/>
      <w:proofErr w:type="gramEnd"/>
      <w:r w:rsidR="005E025D" w:rsidRPr="00A45056">
        <w:rPr>
          <w:rFonts w:ascii="Verdana" w:hAnsi="Verdana"/>
          <w:color w:val="000000" w:themeColor="text1"/>
          <w:sz w:val="20"/>
          <w:szCs w:val="20"/>
        </w:rPr>
        <w:t>. 489/2011/PAR e 532/2012/PAR evidenziano il carattere “non tassativo” del catalogo dell’art. 9 della Mariotti).</w:t>
      </w:r>
    </w:p>
    <w:p w:rsidR="00CD1A91" w:rsidRPr="00A45056" w:rsidRDefault="005E025D" w:rsidP="005E025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A questo titolo, infatti, non si può escludere</w:t>
      </w:r>
      <w:r w:rsidR="00002EB3">
        <w:rPr>
          <w:rFonts w:ascii="Verdana" w:hAnsi="Verdana"/>
          <w:color w:val="000000" w:themeColor="text1"/>
          <w:sz w:val="20"/>
          <w:szCs w:val="20"/>
        </w:rPr>
        <w:t xml:space="preserve"> </w:t>
      </w:r>
      <w:r w:rsidRPr="00A45056">
        <w:rPr>
          <w:rFonts w:ascii="Verdana" w:hAnsi="Verdana"/>
          <w:color w:val="000000" w:themeColor="text1"/>
          <w:sz w:val="20"/>
          <w:szCs w:val="20"/>
        </w:rPr>
        <w:t xml:space="preserve">una gestione diretta del servizio </w:t>
      </w:r>
      <w:r w:rsidR="00CD1A91" w:rsidRPr="00A45056">
        <w:rPr>
          <w:rFonts w:ascii="Verdana" w:hAnsi="Verdana"/>
          <w:color w:val="000000" w:themeColor="text1"/>
          <w:sz w:val="20"/>
          <w:szCs w:val="20"/>
        </w:rPr>
        <w:t xml:space="preserve">in </w:t>
      </w:r>
      <w:r w:rsidRPr="00A45056">
        <w:rPr>
          <w:rFonts w:ascii="Verdana" w:hAnsi="Verdana"/>
          <w:color w:val="000000" w:themeColor="text1"/>
          <w:sz w:val="20"/>
          <w:szCs w:val="20"/>
        </w:rPr>
        <w:t xml:space="preserve">forma societaria, ad esempio tramite società </w:t>
      </w:r>
      <w:r w:rsidRPr="00A45056">
        <w:rPr>
          <w:rFonts w:ascii="Verdana" w:hAnsi="Verdana"/>
          <w:i/>
          <w:color w:val="000000" w:themeColor="text1"/>
          <w:sz w:val="20"/>
          <w:szCs w:val="20"/>
        </w:rPr>
        <w:t xml:space="preserve">in </w:t>
      </w:r>
      <w:proofErr w:type="spellStart"/>
      <w:r w:rsidRPr="00A45056">
        <w:rPr>
          <w:rFonts w:ascii="Verdana" w:hAnsi="Verdana"/>
          <w:i/>
          <w:color w:val="000000" w:themeColor="text1"/>
          <w:sz w:val="20"/>
          <w:szCs w:val="20"/>
        </w:rPr>
        <w:t>house</w:t>
      </w:r>
      <w:proofErr w:type="spellEnd"/>
      <w:r w:rsidRPr="00A45056">
        <w:rPr>
          <w:rFonts w:ascii="Verdana" w:hAnsi="Verdana"/>
          <w:i/>
          <w:color w:val="000000" w:themeColor="text1"/>
          <w:sz w:val="20"/>
          <w:szCs w:val="20"/>
        </w:rPr>
        <w:t xml:space="preserve"> </w:t>
      </w:r>
      <w:r w:rsidRPr="00A45056">
        <w:rPr>
          <w:rFonts w:ascii="Verdana" w:hAnsi="Verdana"/>
          <w:color w:val="000000" w:themeColor="text1"/>
          <w:sz w:val="20"/>
          <w:szCs w:val="20"/>
        </w:rPr>
        <w:t>(</w:t>
      </w:r>
      <w:proofErr w:type="gramStart"/>
      <w:r w:rsidRPr="00A45056">
        <w:rPr>
          <w:rFonts w:ascii="Verdana" w:hAnsi="Verdana"/>
          <w:color w:val="000000" w:themeColor="text1"/>
          <w:sz w:val="20"/>
          <w:szCs w:val="20"/>
        </w:rPr>
        <w:t>SRC  Lombardia</w:t>
      </w:r>
      <w:proofErr w:type="gramEnd"/>
      <w:r w:rsidRPr="00A45056">
        <w:rPr>
          <w:rFonts w:ascii="Verdana" w:hAnsi="Verdana"/>
          <w:color w:val="000000" w:themeColor="text1"/>
          <w:sz w:val="20"/>
          <w:szCs w:val="20"/>
        </w:rPr>
        <w:t xml:space="preserve"> n. 489/2011/PAR) o società miste a controllo pubblico, ovvero</w:t>
      </w:r>
      <w:r w:rsidRPr="00A45056">
        <w:rPr>
          <w:rFonts w:ascii="Verdana" w:hAnsi="Verdana"/>
          <w:i/>
          <w:color w:val="000000" w:themeColor="text1"/>
          <w:sz w:val="20"/>
          <w:szCs w:val="20"/>
        </w:rPr>
        <w:t xml:space="preserve"> </w:t>
      </w:r>
      <w:r w:rsidRPr="00A45056">
        <w:rPr>
          <w:rFonts w:ascii="Verdana" w:hAnsi="Verdana"/>
          <w:color w:val="000000" w:themeColor="text1"/>
          <w:sz w:val="20"/>
          <w:szCs w:val="20"/>
        </w:rPr>
        <w:t>tramite convenzione (SRC Lombardia n. 26/2013/PAR)</w:t>
      </w:r>
      <w:r w:rsidR="00CD1A91" w:rsidRPr="00A45056">
        <w:rPr>
          <w:rFonts w:ascii="Verdana" w:hAnsi="Verdana"/>
          <w:color w:val="000000" w:themeColor="text1"/>
          <w:sz w:val="20"/>
          <w:szCs w:val="20"/>
        </w:rPr>
        <w:t>.</w:t>
      </w:r>
    </w:p>
    <w:p w:rsidR="005E025D" w:rsidRPr="00A45056" w:rsidRDefault="00CD1A91" w:rsidP="005E025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Attesa la</w:t>
      </w:r>
      <w:r w:rsidRPr="00A45056">
        <w:rPr>
          <w:rFonts w:ascii="Verdana" w:hAnsi="Verdana"/>
          <w:i/>
          <w:color w:val="000000" w:themeColor="text1"/>
          <w:sz w:val="20"/>
          <w:szCs w:val="20"/>
        </w:rPr>
        <w:t xml:space="preserve"> ratio</w:t>
      </w:r>
      <w:r w:rsidRPr="00A45056">
        <w:rPr>
          <w:rFonts w:ascii="Verdana" w:hAnsi="Verdana"/>
          <w:color w:val="000000" w:themeColor="text1"/>
          <w:sz w:val="20"/>
          <w:szCs w:val="20"/>
        </w:rPr>
        <w:t xml:space="preserve"> della disciplina, continuano ad essere escluse</w:t>
      </w:r>
      <w:r w:rsidR="005E025D" w:rsidRPr="00A45056">
        <w:rPr>
          <w:rFonts w:ascii="Verdana" w:hAnsi="Verdana"/>
          <w:color w:val="000000" w:themeColor="text1"/>
          <w:sz w:val="20"/>
          <w:szCs w:val="20"/>
        </w:rPr>
        <w:t>,</w:t>
      </w:r>
      <w:r w:rsidRPr="00A45056">
        <w:rPr>
          <w:rFonts w:ascii="Verdana" w:hAnsi="Verdana"/>
          <w:color w:val="000000" w:themeColor="text1"/>
          <w:sz w:val="20"/>
          <w:szCs w:val="20"/>
        </w:rPr>
        <w:t xml:space="preserve"> </w:t>
      </w:r>
      <w:r w:rsidR="00002EB3">
        <w:rPr>
          <w:rFonts w:ascii="Verdana" w:hAnsi="Verdana"/>
          <w:color w:val="000000" w:themeColor="text1"/>
          <w:sz w:val="20"/>
          <w:szCs w:val="20"/>
        </w:rPr>
        <w:t>invece</w:t>
      </w:r>
      <w:r w:rsidR="005E025D" w:rsidRPr="00A45056">
        <w:rPr>
          <w:rFonts w:ascii="Verdana" w:hAnsi="Verdana"/>
          <w:color w:val="000000" w:themeColor="text1"/>
          <w:sz w:val="20"/>
          <w:szCs w:val="20"/>
        </w:rPr>
        <w:t xml:space="preserve">, ad avviso della Sezione </w:t>
      </w:r>
      <w:r w:rsidRPr="00A45056">
        <w:rPr>
          <w:rFonts w:ascii="Verdana" w:hAnsi="Verdana"/>
          <w:color w:val="000000" w:themeColor="text1"/>
          <w:sz w:val="20"/>
          <w:szCs w:val="20"/>
        </w:rPr>
        <w:t>(SRC Campania n. 260/2015/PAR),</w:t>
      </w:r>
      <w:r w:rsidR="005E025D" w:rsidRPr="00A45056">
        <w:rPr>
          <w:rFonts w:ascii="Verdana" w:hAnsi="Verdana"/>
          <w:color w:val="000000" w:themeColor="text1"/>
          <w:sz w:val="20"/>
          <w:szCs w:val="20"/>
        </w:rPr>
        <w:t xml:space="preserve"> in linea con l’orientamento prevalente della Corte dei conti e di parte della giurisprudenza amministrativa, la gestione indiretta, tramite concessioni o società di secondo livello su cui non si esercita il controllo</w:t>
      </w:r>
      <w:r w:rsidR="00EE532A" w:rsidRPr="00A45056">
        <w:rPr>
          <w:rFonts w:ascii="Verdana" w:hAnsi="Verdana"/>
          <w:color w:val="000000" w:themeColor="text1"/>
          <w:sz w:val="20"/>
          <w:szCs w:val="20"/>
        </w:rPr>
        <w:t>; ciò in quanto si tratta di forme di gestione</w:t>
      </w:r>
      <w:r w:rsidR="005E025D" w:rsidRPr="00A45056">
        <w:rPr>
          <w:rFonts w:ascii="Verdana" w:hAnsi="Verdana"/>
          <w:color w:val="000000" w:themeColor="text1"/>
          <w:sz w:val="20"/>
          <w:szCs w:val="20"/>
        </w:rPr>
        <w:t xml:space="preserve"> che non sono per loro natura in grado di assicurare la coincidenza tra titolarità della farmacia e della gestione, privando l’ente locale </w:t>
      </w:r>
      <w:r w:rsidR="00002EB3">
        <w:rPr>
          <w:rFonts w:ascii="Verdana" w:hAnsi="Verdana"/>
          <w:color w:val="000000" w:themeColor="text1"/>
          <w:sz w:val="20"/>
          <w:szCs w:val="20"/>
        </w:rPr>
        <w:t xml:space="preserve">di </w:t>
      </w:r>
      <w:r w:rsidR="005E025D" w:rsidRPr="00A45056">
        <w:rPr>
          <w:rFonts w:ascii="Verdana" w:hAnsi="Verdana"/>
          <w:color w:val="000000" w:themeColor="text1"/>
          <w:sz w:val="20"/>
          <w:szCs w:val="20"/>
        </w:rPr>
        <w:t xml:space="preserve">un impatto diretto e significativo sulla </w:t>
      </w:r>
      <w:proofErr w:type="spellStart"/>
      <w:r w:rsidR="005E025D" w:rsidRPr="00A45056">
        <w:rPr>
          <w:rFonts w:ascii="Verdana" w:hAnsi="Verdana"/>
          <w:i/>
          <w:color w:val="000000" w:themeColor="text1"/>
          <w:sz w:val="20"/>
          <w:szCs w:val="20"/>
        </w:rPr>
        <w:t>governance</w:t>
      </w:r>
      <w:proofErr w:type="spellEnd"/>
      <w:r w:rsidR="005E025D" w:rsidRPr="00A45056">
        <w:rPr>
          <w:rFonts w:ascii="Verdana" w:hAnsi="Verdana"/>
          <w:color w:val="000000" w:themeColor="text1"/>
          <w:sz w:val="20"/>
          <w:szCs w:val="20"/>
        </w:rPr>
        <w:t xml:space="preserve"> della farmacia che possa giustificare la sottrazione </w:t>
      </w:r>
      <w:r w:rsidR="00EE532A" w:rsidRPr="00A45056">
        <w:rPr>
          <w:rFonts w:ascii="Verdana" w:hAnsi="Verdana"/>
          <w:color w:val="000000" w:themeColor="text1"/>
          <w:sz w:val="20"/>
          <w:szCs w:val="20"/>
        </w:rPr>
        <w:t>della titolarità della sede al mercato, mediante prelazione</w:t>
      </w:r>
      <w:r w:rsidR="005E025D" w:rsidRPr="00A45056">
        <w:rPr>
          <w:rFonts w:ascii="Verdana" w:hAnsi="Verdana"/>
          <w:color w:val="000000" w:themeColor="text1"/>
          <w:sz w:val="20"/>
          <w:szCs w:val="20"/>
        </w:rPr>
        <w:t xml:space="preserve">. </w:t>
      </w:r>
    </w:p>
    <w:p w:rsidR="005E025D" w:rsidRPr="00A45056" w:rsidRDefault="005E025D" w:rsidP="005E025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È pertanto esclusa la legittimità di forme di gestione delle farmacie comunali che realizzino, in concreto, una scissione tra titolarità e gestione del servizio, come, nel caso di specie, </w:t>
      </w:r>
      <w:r w:rsidR="00002EB3">
        <w:rPr>
          <w:rFonts w:ascii="Verdana" w:hAnsi="Verdana"/>
          <w:color w:val="000000" w:themeColor="text1"/>
          <w:sz w:val="20"/>
          <w:szCs w:val="20"/>
        </w:rPr>
        <w:t xml:space="preserve">attraverso </w:t>
      </w:r>
      <w:r w:rsidRPr="00A45056">
        <w:rPr>
          <w:rFonts w:ascii="Verdana" w:hAnsi="Verdana"/>
          <w:color w:val="000000" w:themeColor="text1"/>
          <w:sz w:val="20"/>
          <w:szCs w:val="20"/>
        </w:rPr>
        <w:t xml:space="preserve">modello della società mista a capitale privato contemplato dalla disciplina generale </w:t>
      </w:r>
      <w:r w:rsidRPr="004753CD">
        <w:rPr>
          <w:rFonts w:ascii="Verdana" w:hAnsi="Verdana"/>
          <w:i/>
          <w:color w:val="000000" w:themeColor="text1"/>
          <w:sz w:val="20"/>
          <w:szCs w:val="20"/>
        </w:rPr>
        <w:t>pro tempore</w:t>
      </w:r>
      <w:r w:rsidRPr="00A45056">
        <w:rPr>
          <w:rFonts w:ascii="Verdana" w:hAnsi="Verdana"/>
          <w:color w:val="000000" w:themeColor="text1"/>
          <w:sz w:val="20"/>
          <w:szCs w:val="20"/>
        </w:rPr>
        <w:t>, segnatamente dal D.P.R. n. 533/1996.</w:t>
      </w:r>
    </w:p>
    <w:p w:rsidR="005E025D" w:rsidRPr="00A45056" w:rsidRDefault="005E025D" w:rsidP="005E025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La costituzione di una società mista a capitale privato prevalente, del resto, realizza </w:t>
      </w:r>
      <w:r w:rsidR="00002EB3" w:rsidRPr="00A45056">
        <w:rPr>
          <w:rFonts w:ascii="Verdana" w:hAnsi="Verdana"/>
          <w:color w:val="000000" w:themeColor="text1"/>
          <w:sz w:val="20"/>
          <w:szCs w:val="20"/>
        </w:rPr>
        <w:t>un</w:t>
      </w:r>
      <w:r w:rsidR="00002EB3">
        <w:rPr>
          <w:rFonts w:ascii="Verdana" w:hAnsi="Verdana"/>
          <w:color w:val="000000" w:themeColor="text1"/>
          <w:sz w:val="20"/>
          <w:szCs w:val="20"/>
        </w:rPr>
        <w:t>o</w:t>
      </w:r>
      <w:r w:rsidR="00002EB3" w:rsidRPr="00A45056">
        <w:rPr>
          <w:rFonts w:ascii="Verdana" w:hAnsi="Verdana"/>
          <w:color w:val="000000" w:themeColor="text1"/>
          <w:sz w:val="20"/>
          <w:szCs w:val="20"/>
        </w:rPr>
        <w:t xml:space="preserve"> </w:t>
      </w:r>
      <w:r w:rsidRPr="00A45056">
        <w:rPr>
          <w:rFonts w:ascii="Verdana" w:hAnsi="Verdana"/>
          <w:color w:val="000000" w:themeColor="text1"/>
          <w:sz w:val="20"/>
          <w:szCs w:val="20"/>
        </w:rPr>
        <w:t>schema negoziale fungibile rispetto all’appalto o alla concessione (cfr. Adunanza p</w:t>
      </w:r>
      <w:r w:rsidR="00EE532A" w:rsidRPr="00A45056">
        <w:rPr>
          <w:rFonts w:ascii="Verdana" w:hAnsi="Verdana"/>
          <w:color w:val="000000" w:themeColor="text1"/>
          <w:sz w:val="20"/>
          <w:szCs w:val="20"/>
        </w:rPr>
        <w:t>lenaria n. 1/2008) in quanto la partecipazione sociale ha un suo</w:t>
      </w:r>
      <w:r w:rsidRPr="00A45056">
        <w:rPr>
          <w:rFonts w:ascii="Verdana" w:hAnsi="Verdana"/>
          <w:color w:val="000000" w:themeColor="text1"/>
          <w:sz w:val="20"/>
          <w:szCs w:val="20"/>
        </w:rPr>
        <w:t xml:space="preserve"> “</w:t>
      </w:r>
      <w:r w:rsidR="00EE532A" w:rsidRPr="00A45056">
        <w:rPr>
          <w:rFonts w:ascii="Verdana" w:hAnsi="Verdana"/>
          <w:color w:val="000000" w:themeColor="text1"/>
          <w:sz w:val="20"/>
          <w:szCs w:val="20"/>
        </w:rPr>
        <w:t>corrispettivo</w:t>
      </w:r>
      <w:r w:rsidRPr="00A45056">
        <w:rPr>
          <w:rFonts w:ascii="Verdana" w:hAnsi="Verdana"/>
          <w:color w:val="000000" w:themeColor="text1"/>
          <w:sz w:val="20"/>
          <w:szCs w:val="20"/>
        </w:rPr>
        <w:t>”</w:t>
      </w:r>
      <w:r w:rsidR="00EE532A" w:rsidRPr="00A45056">
        <w:rPr>
          <w:rFonts w:ascii="Verdana" w:hAnsi="Verdana"/>
          <w:color w:val="000000" w:themeColor="text1"/>
          <w:sz w:val="20"/>
          <w:szCs w:val="20"/>
        </w:rPr>
        <w:t xml:space="preserve"> proprio nel conferimento del servizio </w:t>
      </w:r>
      <w:r w:rsidR="00806788" w:rsidRPr="00A45056">
        <w:rPr>
          <w:rFonts w:ascii="Verdana" w:hAnsi="Verdana"/>
          <w:color w:val="000000" w:themeColor="text1"/>
          <w:sz w:val="20"/>
          <w:szCs w:val="20"/>
        </w:rPr>
        <w:t xml:space="preserve">per </w:t>
      </w:r>
      <w:r w:rsidR="00002EB3" w:rsidRPr="00A45056">
        <w:rPr>
          <w:rFonts w:ascii="Verdana" w:hAnsi="Verdana"/>
          <w:color w:val="000000" w:themeColor="text1"/>
          <w:sz w:val="20"/>
          <w:szCs w:val="20"/>
        </w:rPr>
        <w:t>l</w:t>
      </w:r>
      <w:r w:rsidR="00002EB3">
        <w:rPr>
          <w:rFonts w:ascii="Verdana" w:hAnsi="Verdana"/>
          <w:color w:val="000000" w:themeColor="text1"/>
          <w:sz w:val="20"/>
          <w:szCs w:val="20"/>
        </w:rPr>
        <w:t>e</w:t>
      </w:r>
      <w:r w:rsidR="00002EB3" w:rsidRPr="00A45056">
        <w:rPr>
          <w:rFonts w:ascii="Verdana" w:hAnsi="Verdana"/>
          <w:color w:val="000000" w:themeColor="text1"/>
          <w:sz w:val="20"/>
          <w:szCs w:val="20"/>
        </w:rPr>
        <w:t xml:space="preserve"> </w:t>
      </w:r>
      <w:r w:rsidR="00806788" w:rsidRPr="00A45056">
        <w:rPr>
          <w:rFonts w:ascii="Verdana" w:hAnsi="Verdana"/>
          <w:color w:val="000000" w:themeColor="text1"/>
          <w:sz w:val="20"/>
          <w:szCs w:val="20"/>
        </w:rPr>
        <w:t>correlate sedi farmaceutiche</w:t>
      </w:r>
      <w:r w:rsidRPr="00A45056">
        <w:rPr>
          <w:rFonts w:ascii="Verdana" w:hAnsi="Verdana"/>
          <w:color w:val="000000" w:themeColor="text1"/>
          <w:sz w:val="20"/>
          <w:szCs w:val="20"/>
        </w:rPr>
        <w:t xml:space="preserve">. </w:t>
      </w:r>
      <w:r w:rsidR="00806788" w:rsidRPr="00A45056">
        <w:rPr>
          <w:rFonts w:ascii="Verdana" w:hAnsi="Verdana"/>
          <w:color w:val="000000" w:themeColor="text1"/>
          <w:sz w:val="20"/>
          <w:szCs w:val="20"/>
        </w:rPr>
        <w:t>Proprio per tale fungibilità tra contratto-concessione e contratto societario la giurisprudenza amministrativa e oggi l’art. 17 del D.lgs. n. 175/2016 hanno codificato</w:t>
      </w:r>
      <w:r w:rsidRPr="00A45056">
        <w:rPr>
          <w:rFonts w:ascii="Verdana" w:hAnsi="Verdana"/>
          <w:color w:val="000000" w:themeColor="text1"/>
          <w:sz w:val="20"/>
          <w:szCs w:val="20"/>
        </w:rPr>
        <w:t xml:space="preserve"> la c.d. gara a doppio oggetto, in virtù della quale il socio deve essere selezionato in ragione delle qualità non solo finanziarie, ma operative, valutando la capacità industriale nella resa del servizio. </w:t>
      </w:r>
    </w:p>
    <w:p w:rsidR="00F91B03" w:rsidRPr="00A45056" w:rsidRDefault="00F91B03" w:rsidP="00F91B0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color w:val="000000" w:themeColor="text1"/>
          <w:sz w:val="20"/>
          <w:szCs w:val="20"/>
        </w:rPr>
        <w:t xml:space="preserve">5.1.2.1. </w:t>
      </w:r>
      <w:r w:rsidRPr="00A45056">
        <w:rPr>
          <w:rFonts w:ascii="Verdana" w:hAnsi="Verdana"/>
          <w:color w:val="000000" w:themeColor="text1"/>
          <w:sz w:val="20"/>
          <w:szCs w:val="20"/>
        </w:rPr>
        <w:t xml:space="preserve">La Sezione, peraltro, non ignora il diverso orientamento sostenuto da una parte della giurisprudenza che ha nondimeno ritenuto ammissibile l’affidamento </w:t>
      </w:r>
      <w:r w:rsidR="00002EB3" w:rsidRPr="00A45056">
        <w:rPr>
          <w:rFonts w:ascii="Verdana" w:hAnsi="Verdana"/>
          <w:color w:val="000000" w:themeColor="text1"/>
          <w:sz w:val="20"/>
          <w:szCs w:val="20"/>
        </w:rPr>
        <w:t xml:space="preserve">delle farmacie </w:t>
      </w:r>
      <w:r w:rsidR="00002EB3" w:rsidRPr="00A45056">
        <w:rPr>
          <w:rFonts w:ascii="Verdana" w:hAnsi="Verdana"/>
          <w:color w:val="000000" w:themeColor="text1"/>
          <w:sz w:val="20"/>
          <w:szCs w:val="20"/>
        </w:rPr>
        <w:lastRenderedPageBreak/>
        <w:t xml:space="preserve">comunali </w:t>
      </w:r>
      <w:r w:rsidRPr="00A45056">
        <w:rPr>
          <w:rFonts w:ascii="Verdana" w:hAnsi="Verdana"/>
          <w:color w:val="000000" w:themeColor="text1"/>
          <w:sz w:val="20"/>
          <w:szCs w:val="20"/>
        </w:rPr>
        <w:t>in gestione a terzi, mediante lo strumento della gara pubblica e, quindi, con sostanziale scavalcamento delle modalità indicate dall’art. 9 della legge n. 475 del 1968 (cfr. TAR Sicilia, Catania, sez. IV, n. 1598 del 2011</w:t>
      </w:r>
      <w:r w:rsidR="00C33C51" w:rsidRPr="00A45056">
        <w:rPr>
          <w:rFonts w:ascii="Verdana" w:hAnsi="Verdana"/>
          <w:color w:val="000000" w:themeColor="text1"/>
          <w:sz w:val="20"/>
          <w:szCs w:val="20"/>
        </w:rPr>
        <w:t xml:space="preserve"> nonché Consiglio di Stato Sez. III, sentenza 31 ottobre 2014 n. 5389; sentenza n. 31 dicembre 2014 n. 5587; sentenza 9 luglio 2013 n. 3647/2013</w:t>
      </w:r>
      <w:r w:rsidRPr="00A45056">
        <w:rPr>
          <w:rFonts w:ascii="Verdana" w:hAnsi="Verdana"/>
          <w:color w:val="000000" w:themeColor="text1"/>
          <w:sz w:val="20"/>
          <w:szCs w:val="20"/>
        </w:rPr>
        <w:t xml:space="preserve">). </w:t>
      </w:r>
    </w:p>
    <w:p w:rsidR="00F91B03" w:rsidRPr="00A45056" w:rsidRDefault="00F91B03" w:rsidP="00F91B0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A sostegno di questa interpretazione si invocano anche alcuni indici normativi che ammetterebbero la scissione tra titolarità e gestione delle farmacie comunali:  </w:t>
      </w:r>
    </w:p>
    <w:p w:rsidR="00F91B03" w:rsidRPr="00A45056" w:rsidRDefault="00F91B03" w:rsidP="00F91B03">
      <w:pPr>
        <w:numPr>
          <w:ilvl w:val="0"/>
          <w:numId w:val="40"/>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 xml:space="preserve">In primis, si evidenzia che il Legislatore, già in passato, avrebbe consentito altre forme di gestione. A tale riguardo si richiama </w:t>
      </w:r>
      <w:r w:rsidR="00C33C51" w:rsidRPr="00A45056">
        <w:rPr>
          <w:rFonts w:ascii="Verdana" w:hAnsi="Verdana"/>
          <w:color w:val="000000" w:themeColor="text1"/>
          <w:sz w:val="20"/>
          <w:szCs w:val="20"/>
        </w:rPr>
        <w:t xml:space="preserve">il già citato </w:t>
      </w:r>
      <w:r w:rsidRPr="00A45056">
        <w:rPr>
          <w:rFonts w:ascii="Verdana" w:hAnsi="Verdana"/>
          <w:color w:val="000000" w:themeColor="text1"/>
          <w:sz w:val="20"/>
          <w:szCs w:val="20"/>
        </w:rPr>
        <w:t>art. 12, comma 1, della Legge n. 498 del 23 dicembre 1992 che ha consentito la gestione di farmacie comunali attraverso società per azioni senza il vincolo della proprietà pubblica maggioritaria così stabilendo</w:t>
      </w:r>
      <w:r w:rsidR="00C33C51" w:rsidRPr="00A45056">
        <w:rPr>
          <w:rFonts w:ascii="Verdana" w:hAnsi="Verdana"/>
          <w:i/>
          <w:color w:val="000000" w:themeColor="text1"/>
          <w:sz w:val="20"/>
          <w:szCs w:val="20"/>
        </w:rPr>
        <w:t>;</w:t>
      </w:r>
    </w:p>
    <w:p w:rsidR="00F91B03" w:rsidRPr="00A45056" w:rsidRDefault="00F91B03" w:rsidP="00F91B03">
      <w:pPr>
        <w:numPr>
          <w:ilvl w:val="0"/>
          <w:numId w:val="40"/>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In secondo luogo si richiama l’art. 100 del D.lgs. n. 219 del 24 aprile 2006 (Attuazi</w:t>
      </w:r>
      <w:r w:rsidR="00DB0889" w:rsidRPr="00A45056">
        <w:rPr>
          <w:rFonts w:ascii="Verdana" w:hAnsi="Verdana"/>
          <w:color w:val="000000" w:themeColor="text1"/>
          <w:sz w:val="20"/>
          <w:szCs w:val="20"/>
        </w:rPr>
        <w:t xml:space="preserve">one della direttiva 2001/83/CE – </w:t>
      </w:r>
      <w:r w:rsidRPr="00A45056">
        <w:rPr>
          <w:rFonts w:ascii="Verdana" w:hAnsi="Verdana"/>
          <w:color w:val="000000" w:themeColor="text1"/>
          <w:sz w:val="20"/>
          <w:szCs w:val="20"/>
        </w:rPr>
        <w:t>e s</w:t>
      </w:r>
      <w:r w:rsidR="00DB0889" w:rsidRPr="00A45056">
        <w:rPr>
          <w:rFonts w:ascii="Verdana" w:hAnsi="Verdana"/>
          <w:color w:val="000000" w:themeColor="text1"/>
          <w:sz w:val="20"/>
          <w:szCs w:val="20"/>
        </w:rPr>
        <w:t>uccessive direttive di modifica –</w:t>
      </w:r>
      <w:r w:rsidRPr="00A45056">
        <w:rPr>
          <w:rFonts w:ascii="Verdana" w:hAnsi="Verdana"/>
          <w:color w:val="000000" w:themeColor="text1"/>
          <w:sz w:val="20"/>
          <w:szCs w:val="20"/>
        </w:rPr>
        <w:t xml:space="preserve"> relativa ad un codice comunitario concernente i medicinali per uso umano, nonché della direttiva 2003/94/CE) il quale, al comma 1-bis consente alle società che svolgono attività di distribuzione all'ingrosso di medicinali di  svolgere anche attività di vendita al pubblico attraverso la gestione di farmacie comunali; il medesimo art. 100, prosegue, al comma 4 bis facendo “salvi gli effetti degli affidamenti della gestione delle farmacie comunali a società che svolgono attività di distribuzione all'ingrosso di medicinali, nonché dell'acquisizione da parte di tali società di partecipazioni in società affidatarie della gestione di farmacie comunali, effettuati prima della data di entrata in vigore del presente decreto legislativo”. </w:t>
      </w:r>
    </w:p>
    <w:p w:rsidR="00F91B03" w:rsidRPr="00A45056" w:rsidRDefault="00F91B03" w:rsidP="00F91B03">
      <w:pPr>
        <w:numPr>
          <w:ilvl w:val="0"/>
          <w:numId w:val="40"/>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In</w:t>
      </w:r>
      <w:r w:rsidR="00DB0889" w:rsidRPr="00A45056">
        <w:rPr>
          <w:rFonts w:ascii="Verdana" w:hAnsi="Verdana"/>
          <w:color w:val="000000" w:themeColor="text1"/>
          <w:sz w:val="20"/>
          <w:szCs w:val="20"/>
        </w:rPr>
        <w:t xml:space="preserve"> terzo luogo</w:t>
      </w:r>
      <w:r w:rsidRPr="00A45056">
        <w:rPr>
          <w:rFonts w:ascii="Verdana" w:hAnsi="Verdana"/>
          <w:color w:val="000000" w:themeColor="text1"/>
          <w:sz w:val="20"/>
          <w:szCs w:val="20"/>
        </w:rPr>
        <w:t>, questo orientamento evidenzia che il D.L. n. 415/89 all’art. 15-</w:t>
      </w:r>
      <w:r w:rsidRPr="00A45056">
        <w:rPr>
          <w:rFonts w:ascii="Verdana" w:hAnsi="Verdana"/>
          <w:i/>
          <w:color w:val="000000" w:themeColor="text1"/>
          <w:sz w:val="20"/>
          <w:szCs w:val="20"/>
        </w:rPr>
        <w:t>quinquies</w:t>
      </w:r>
      <w:r w:rsidRPr="00A45056">
        <w:rPr>
          <w:rFonts w:ascii="Verdana" w:hAnsi="Verdana"/>
          <w:color w:val="000000" w:themeColor="text1"/>
          <w:sz w:val="20"/>
          <w:szCs w:val="20"/>
        </w:rPr>
        <w:t xml:space="preserve"> comma 2, ha esteso ai comuni la facoltà, già prevista per le farmacie private (art. 12 L. 475/68), di trasferire la titolarità della farmacia decorsi 3 anni dal conseguimento in favore di farmacisti abilitati. </w:t>
      </w:r>
    </w:p>
    <w:p w:rsidR="00F91B03" w:rsidRPr="00A45056" w:rsidRDefault="00F91B03" w:rsidP="00F91B0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 richiamati indici di carattere testuale non sembrano, però, dirimenti, </w:t>
      </w:r>
      <w:r w:rsidR="00B82D46" w:rsidRPr="00A45056">
        <w:rPr>
          <w:rFonts w:ascii="Verdana" w:hAnsi="Verdana"/>
          <w:color w:val="000000" w:themeColor="text1"/>
          <w:sz w:val="20"/>
          <w:szCs w:val="20"/>
        </w:rPr>
        <w:t xml:space="preserve">per affermare il superamento del principio di inscindibilità </w:t>
      </w:r>
      <w:r w:rsidRPr="00A45056">
        <w:rPr>
          <w:rFonts w:ascii="Verdana" w:hAnsi="Verdana"/>
          <w:color w:val="000000" w:themeColor="text1"/>
          <w:sz w:val="20"/>
          <w:szCs w:val="20"/>
        </w:rPr>
        <w:t>tra titolarità e gestione delle farmacie comunali. Si tratta</w:t>
      </w:r>
      <w:r w:rsidR="00002EB3">
        <w:rPr>
          <w:rFonts w:ascii="Verdana" w:hAnsi="Verdana"/>
          <w:color w:val="000000" w:themeColor="text1"/>
          <w:sz w:val="20"/>
          <w:szCs w:val="20"/>
        </w:rPr>
        <w:t>,</w:t>
      </w:r>
      <w:r w:rsidRPr="00A45056">
        <w:rPr>
          <w:rFonts w:ascii="Verdana" w:hAnsi="Verdana"/>
          <w:color w:val="000000" w:themeColor="text1"/>
          <w:sz w:val="20"/>
          <w:szCs w:val="20"/>
        </w:rPr>
        <w:t xml:space="preserve"> infatti, di norme contemplanti ipotesi residuali e circostanziate, le cui peculiarità non consentono di ricostruire una logica di settore antitetica a quella sopra ricostruita, ma anzi confermano la sussistenza della stessa.</w:t>
      </w:r>
    </w:p>
    <w:p w:rsidR="00DE29F0" w:rsidRPr="00A45056" w:rsidRDefault="00F91B03" w:rsidP="00F91B0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Quanto al primo dato testuale </w:t>
      </w:r>
      <w:r w:rsidR="00B82D46" w:rsidRPr="00A45056">
        <w:rPr>
          <w:rFonts w:ascii="Verdana" w:hAnsi="Verdana"/>
          <w:color w:val="000000" w:themeColor="text1"/>
          <w:sz w:val="20"/>
          <w:szCs w:val="20"/>
        </w:rPr>
        <w:t xml:space="preserve">si è già evidenziato </w:t>
      </w:r>
      <w:r w:rsidR="00DE29F0" w:rsidRPr="00A45056">
        <w:rPr>
          <w:rFonts w:ascii="Verdana" w:hAnsi="Verdana"/>
          <w:color w:val="000000" w:themeColor="text1"/>
          <w:sz w:val="20"/>
          <w:szCs w:val="20"/>
        </w:rPr>
        <w:t xml:space="preserve">(§ 5.1.1.) </w:t>
      </w:r>
      <w:r w:rsidR="00B82D46" w:rsidRPr="00A45056">
        <w:rPr>
          <w:rFonts w:ascii="Verdana" w:hAnsi="Verdana"/>
          <w:color w:val="000000" w:themeColor="text1"/>
          <w:sz w:val="20"/>
          <w:szCs w:val="20"/>
        </w:rPr>
        <w:t>che il legislatore ha effettuato con il TUEL una scelta antitetica, mantenendo il modello delineato con l’art. 12 della L. n. 4</w:t>
      </w:r>
      <w:r w:rsidR="0031163B" w:rsidRPr="00A45056">
        <w:rPr>
          <w:rFonts w:ascii="Verdana" w:hAnsi="Verdana"/>
          <w:color w:val="000000" w:themeColor="text1"/>
          <w:sz w:val="20"/>
          <w:szCs w:val="20"/>
        </w:rPr>
        <w:t>98/1992, espressamente, solo per i ser</w:t>
      </w:r>
      <w:r w:rsidR="00DE29F0" w:rsidRPr="00A45056">
        <w:rPr>
          <w:rFonts w:ascii="Verdana" w:hAnsi="Verdana"/>
          <w:color w:val="000000" w:themeColor="text1"/>
          <w:sz w:val="20"/>
          <w:szCs w:val="20"/>
        </w:rPr>
        <w:t>vizi privi di rilevanza economi</w:t>
      </w:r>
      <w:r w:rsidR="0031163B" w:rsidRPr="00A45056">
        <w:rPr>
          <w:rFonts w:ascii="Verdana" w:hAnsi="Verdana"/>
          <w:color w:val="000000" w:themeColor="text1"/>
          <w:sz w:val="20"/>
          <w:szCs w:val="20"/>
        </w:rPr>
        <w:t>c</w:t>
      </w:r>
      <w:r w:rsidR="00DE29F0" w:rsidRPr="00A45056">
        <w:rPr>
          <w:rFonts w:ascii="Verdana" w:hAnsi="Verdana"/>
          <w:color w:val="000000" w:themeColor="text1"/>
          <w:sz w:val="20"/>
          <w:szCs w:val="20"/>
        </w:rPr>
        <w:t>a</w:t>
      </w:r>
      <w:r w:rsidR="0031163B" w:rsidRPr="00A45056">
        <w:rPr>
          <w:rFonts w:ascii="Verdana" w:hAnsi="Verdana"/>
          <w:color w:val="000000" w:themeColor="text1"/>
          <w:sz w:val="20"/>
          <w:szCs w:val="20"/>
        </w:rPr>
        <w:t xml:space="preserve"> e</w:t>
      </w:r>
      <w:r w:rsidR="00DE29F0" w:rsidRPr="00A45056">
        <w:rPr>
          <w:rFonts w:ascii="Verdana" w:hAnsi="Verdana"/>
          <w:color w:val="000000" w:themeColor="text1"/>
          <w:sz w:val="20"/>
          <w:szCs w:val="20"/>
        </w:rPr>
        <w:t>d</w:t>
      </w:r>
      <w:r w:rsidR="0031163B" w:rsidRPr="00A45056">
        <w:rPr>
          <w:rFonts w:ascii="Verdana" w:hAnsi="Verdana"/>
          <w:color w:val="000000" w:themeColor="text1"/>
          <w:sz w:val="20"/>
          <w:szCs w:val="20"/>
        </w:rPr>
        <w:t xml:space="preserve"> </w:t>
      </w:r>
      <w:r w:rsidR="00DE29F0" w:rsidRPr="00A45056">
        <w:rPr>
          <w:rFonts w:ascii="Verdana" w:hAnsi="Verdana"/>
          <w:color w:val="000000" w:themeColor="text1"/>
          <w:sz w:val="20"/>
          <w:szCs w:val="20"/>
        </w:rPr>
        <w:t>in ogni caso eliminando l’inciso normativo che faceva espresso riferimento ad una deroga all’art. 9 della Legge Mariotti.</w:t>
      </w:r>
    </w:p>
    <w:p w:rsidR="00F91B03" w:rsidRPr="00A45056" w:rsidRDefault="00F91B03" w:rsidP="00F91B0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Con riferimento al secondo dato normativo, il richiamo all’art.100, comma 1-bis del D.lgs. 219/06 non </w:t>
      </w:r>
      <w:r w:rsidR="00DE29F0" w:rsidRPr="00A45056">
        <w:rPr>
          <w:rFonts w:ascii="Verdana" w:hAnsi="Verdana"/>
          <w:color w:val="000000" w:themeColor="text1"/>
          <w:sz w:val="20"/>
          <w:szCs w:val="20"/>
        </w:rPr>
        <w:t xml:space="preserve">solo non </w:t>
      </w:r>
      <w:r w:rsidRPr="00A45056">
        <w:rPr>
          <w:rFonts w:ascii="Verdana" w:hAnsi="Verdana"/>
          <w:color w:val="000000" w:themeColor="text1"/>
          <w:sz w:val="20"/>
          <w:szCs w:val="20"/>
        </w:rPr>
        <w:t xml:space="preserve">è dirimente, ma anzi sembra suffragare la tesi opposta dell’inammissibilità di una generalizzata esternalizzazione della gestione delle farmacie comunali: se quest’ultima opzione fosse già ammessa dall’ordinamento non avrebbe alcun senso la norma </w:t>
      </w:r>
      <w:r w:rsidRPr="00A45056">
        <w:rPr>
          <w:rFonts w:ascii="Verdana" w:hAnsi="Verdana"/>
          <w:i/>
          <w:color w:val="000000" w:themeColor="text1"/>
          <w:sz w:val="20"/>
          <w:szCs w:val="20"/>
        </w:rPr>
        <w:t>de qua</w:t>
      </w:r>
      <w:r w:rsidRPr="00A45056">
        <w:rPr>
          <w:rFonts w:ascii="Verdana" w:hAnsi="Verdana"/>
          <w:color w:val="000000" w:themeColor="text1"/>
          <w:sz w:val="20"/>
          <w:szCs w:val="20"/>
        </w:rPr>
        <w:t xml:space="preserve">, che </w:t>
      </w:r>
      <w:r w:rsidRPr="00A45056">
        <w:rPr>
          <w:rFonts w:ascii="Verdana" w:hAnsi="Verdana"/>
          <w:color w:val="000000" w:themeColor="text1"/>
          <w:sz w:val="20"/>
          <w:szCs w:val="20"/>
        </w:rPr>
        <w:lastRenderedPageBreak/>
        <w:t xml:space="preserve">invece intende proprio consentire, per i grossisti, ciò che altrimenti non sarebbe possibile in quanto non ammesso dall’art. 9 della L. Mariotti. </w:t>
      </w:r>
    </w:p>
    <w:p w:rsidR="00F91B03" w:rsidRPr="00A45056" w:rsidRDefault="00F91B03" w:rsidP="00F91B0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Quanto al terzo elemento normativo  (la disciplina del trasferimento della titolarità della farmacia comunale), la Sezione ha avuto già modo di osservare che </w:t>
      </w:r>
      <w:r w:rsidR="002D4BE5" w:rsidRPr="00A45056">
        <w:rPr>
          <w:rFonts w:ascii="Verdana" w:hAnsi="Verdana"/>
          <w:color w:val="000000" w:themeColor="text1"/>
          <w:sz w:val="20"/>
          <w:szCs w:val="20"/>
        </w:rPr>
        <w:t>«</w:t>
      </w:r>
      <w:r w:rsidRPr="00A45056">
        <w:rPr>
          <w:rFonts w:ascii="Verdana" w:hAnsi="Verdana"/>
          <w:i/>
          <w:color w:val="000000" w:themeColor="text1"/>
          <w:sz w:val="20"/>
          <w:szCs w:val="20"/>
        </w:rPr>
        <w:t xml:space="preserve">tale possibilità è contemplata solo a valle di un materiale e significativo esercizio della gestione della farmacia </w:t>
      </w:r>
      <w:proofErr w:type="spellStart"/>
      <w:r w:rsidRPr="00A45056">
        <w:rPr>
          <w:rFonts w:ascii="Verdana" w:hAnsi="Verdana"/>
          <w:i/>
          <w:color w:val="000000" w:themeColor="text1"/>
          <w:sz w:val="20"/>
          <w:szCs w:val="20"/>
        </w:rPr>
        <w:t>prelazionata</w:t>
      </w:r>
      <w:proofErr w:type="spellEnd"/>
      <w:r w:rsidRPr="00A45056">
        <w:rPr>
          <w:rFonts w:ascii="Verdana" w:hAnsi="Verdana"/>
          <w:i/>
          <w:color w:val="000000" w:themeColor="text1"/>
          <w:sz w:val="20"/>
          <w:szCs w:val="20"/>
        </w:rPr>
        <w:t>, con l’approntamento della necessaria organizzazione d’impresa e lo svolgimento dell’attività sociale; solo in un secondo momento, esaurita la funzione della prelazione comunale, lo stesso ordinamento contempla la possibilità trasferire la titolarità della sede collocandola sul mercato, ovviamente</w:t>
      </w:r>
      <w:r w:rsidRPr="00A45056">
        <w:rPr>
          <w:rFonts w:ascii="Verdana" w:hAnsi="Verdana"/>
          <w:bCs/>
          <w:color w:val="000000" w:themeColor="text1"/>
          <w:sz w:val="20"/>
          <w:szCs w:val="20"/>
        </w:rPr>
        <w:t xml:space="preserve"> “</w:t>
      </w:r>
      <w:r w:rsidRPr="00A45056">
        <w:rPr>
          <w:rFonts w:ascii="Verdana" w:hAnsi="Verdana"/>
          <w:bCs/>
          <w:i/>
          <w:color w:val="000000" w:themeColor="text1"/>
          <w:sz w:val="20"/>
          <w:szCs w:val="20"/>
        </w:rPr>
        <w:t>solo a favore di farmacista che abbia conseguito la titolarità o che sia risultato idoneo in un precedente concorso</w:t>
      </w:r>
      <w:r w:rsidRPr="00A45056">
        <w:rPr>
          <w:rFonts w:ascii="Verdana" w:hAnsi="Verdana"/>
          <w:color w:val="000000" w:themeColor="text1"/>
          <w:sz w:val="20"/>
          <w:szCs w:val="20"/>
        </w:rPr>
        <w:t xml:space="preserve">” </w:t>
      </w:r>
      <w:r w:rsidRPr="00A45056">
        <w:rPr>
          <w:rFonts w:ascii="Verdana" w:hAnsi="Verdana"/>
          <w:i/>
          <w:color w:val="000000" w:themeColor="text1"/>
          <w:sz w:val="20"/>
          <w:szCs w:val="20"/>
        </w:rPr>
        <w:t>(art. 12 L. n. 475/1968, richiamato dall’ultimo comma dell’art. 15-quinquies del D.L. n. 415/1989), ovviamente nel rispetto delle procedure di evidenza pubblica per la cessione di beni del patrimonio degli enti pubblici</w:t>
      </w:r>
      <w:r w:rsidR="00EF6120" w:rsidRPr="00A45056">
        <w:rPr>
          <w:rFonts w:ascii="Verdana" w:hAnsi="Verdana"/>
          <w:color w:val="000000" w:themeColor="text1"/>
          <w:sz w:val="20"/>
          <w:szCs w:val="20"/>
        </w:rPr>
        <w:t>»</w:t>
      </w:r>
      <w:r w:rsidRPr="00A45056">
        <w:rPr>
          <w:rFonts w:ascii="Verdana" w:hAnsi="Verdana"/>
          <w:i/>
          <w:color w:val="000000" w:themeColor="text1"/>
          <w:sz w:val="20"/>
          <w:szCs w:val="20"/>
        </w:rPr>
        <w:t xml:space="preserve"> </w:t>
      </w:r>
      <w:r w:rsidRPr="00A45056">
        <w:rPr>
          <w:rFonts w:ascii="Verdana" w:hAnsi="Verdana"/>
          <w:color w:val="000000" w:themeColor="text1"/>
          <w:sz w:val="20"/>
          <w:szCs w:val="20"/>
        </w:rPr>
        <w:t>(SRC Campania n. 260/2014/PRSP)</w:t>
      </w:r>
      <w:r w:rsidR="002D4BE5" w:rsidRPr="00A45056">
        <w:rPr>
          <w:rFonts w:ascii="Verdana" w:hAnsi="Verdana"/>
          <w:color w:val="000000" w:themeColor="text1"/>
          <w:sz w:val="20"/>
          <w:szCs w:val="20"/>
        </w:rPr>
        <w:t>.</w:t>
      </w:r>
      <w:r w:rsidRPr="00A45056">
        <w:rPr>
          <w:rFonts w:ascii="Verdana" w:hAnsi="Verdana"/>
          <w:color w:val="000000" w:themeColor="text1"/>
          <w:sz w:val="20"/>
          <w:szCs w:val="20"/>
        </w:rPr>
        <w:t xml:space="preserve"> </w:t>
      </w:r>
    </w:p>
    <w:p w:rsidR="00F91B03" w:rsidRPr="00A45056" w:rsidRDefault="00F91B03" w:rsidP="00F91B0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Da ultimo, peraltro, </w:t>
      </w:r>
      <w:r w:rsidR="00EF6120" w:rsidRPr="00A45056">
        <w:rPr>
          <w:rFonts w:ascii="Verdana" w:hAnsi="Verdana"/>
          <w:color w:val="000000" w:themeColor="text1"/>
          <w:sz w:val="20"/>
          <w:szCs w:val="20"/>
        </w:rPr>
        <w:t>vale la pena di segnalare l’introduzione un divieto espresso di vendita per le farm</w:t>
      </w:r>
      <w:r w:rsidR="00D12A80" w:rsidRPr="00A45056">
        <w:rPr>
          <w:rFonts w:ascii="Verdana" w:hAnsi="Verdana"/>
          <w:color w:val="000000" w:themeColor="text1"/>
          <w:sz w:val="20"/>
          <w:szCs w:val="20"/>
        </w:rPr>
        <w:t xml:space="preserve">acie </w:t>
      </w:r>
      <w:proofErr w:type="spellStart"/>
      <w:r w:rsidR="00D12A80" w:rsidRPr="00A45056">
        <w:rPr>
          <w:rFonts w:ascii="Verdana" w:hAnsi="Verdana"/>
          <w:color w:val="000000" w:themeColor="text1"/>
          <w:sz w:val="20"/>
          <w:szCs w:val="20"/>
        </w:rPr>
        <w:t>prelazionate</w:t>
      </w:r>
      <w:proofErr w:type="spellEnd"/>
      <w:r w:rsidR="00D12A80" w:rsidRPr="00A45056">
        <w:rPr>
          <w:rFonts w:ascii="Verdana" w:hAnsi="Verdana"/>
          <w:color w:val="000000" w:themeColor="text1"/>
          <w:sz w:val="20"/>
          <w:szCs w:val="20"/>
        </w:rPr>
        <w:t xml:space="preserve"> istituite in base alla decretazione d’urgenza recante “Disposizioni urgenti per la concorrenza, lo sviluppo delle infrastrutture e la </w:t>
      </w:r>
      <w:r w:rsidR="0060641D" w:rsidRPr="00A45056">
        <w:rPr>
          <w:rFonts w:ascii="Verdana" w:hAnsi="Verdana"/>
          <w:color w:val="000000" w:themeColor="text1"/>
          <w:sz w:val="20"/>
          <w:szCs w:val="20"/>
        </w:rPr>
        <w:t>competitività</w:t>
      </w:r>
      <w:r w:rsidR="00D12A80" w:rsidRPr="00A45056">
        <w:rPr>
          <w:rFonts w:ascii="Verdana" w:hAnsi="Verdana"/>
          <w:color w:val="000000" w:themeColor="text1"/>
          <w:sz w:val="20"/>
          <w:szCs w:val="20"/>
        </w:rPr>
        <w:t xml:space="preserve">” (D.L. n. 1/2012, </w:t>
      </w:r>
      <w:proofErr w:type="spellStart"/>
      <w:r w:rsidR="00D12A80" w:rsidRPr="00A45056">
        <w:rPr>
          <w:rFonts w:ascii="Verdana" w:hAnsi="Verdana"/>
          <w:color w:val="000000" w:themeColor="text1"/>
          <w:sz w:val="20"/>
          <w:szCs w:val="20"/>
        </w:rPr>
        <w:t>conv</w:t>
      </w:r>
      <w:proofErr w:type="spellEnd"/>
      <w:r w:rsidR="00D12A80" w:rsidRPr="00A45056">
        <w:rPr>
          <w:rFonts w:ascii="Verdana" w:hAnsi="Verdana"/>
          <w:color w:val="000000" w:themeColor="text1"/>
          <w:sz w:val="20"/>
          <w:szCs w:val="20"/>
        </w:rPr>
        <w:t>.</w:t>
      </w:r>
      <w:r w:rsidR="00836F99">
        <w:rPr>
          <w:rFonts w:ascii="Verdana" w:hAnsi="Verdana"/>
          <w:color w:val="000000" w:themeColor="text1"/>
          <w:sz w:val="20"/>
          <w:szCs w:val="20"/>
        </w:rPr>
        <w:t xml:space="preserve"> </w:t>
      </w:r>
      <w:r w:rsidR="00D12A80" w:rsidRPr="00A45056">
        <w:rPr>
          <w:rFonts w:ascii="Verdana" w:hAnsi="Verdana"/>
          <w:color w:val="000000" w:themeColor="text1"/>
          <w:sz w:val="20"/>
          <w:szCs w:val="20"/>
        </w:rPr>
        <w:t>L. n. 27/2012)</w:t>
      </w:r>
      <w:r w:rsidRPr="00A45056">
        <w:rPr>
          <w:rFonts w:ascii="Verdana" w:hAnsi="Verdana"/>
          <w:color w:val="000000" w:themeColor="text1"/>
          <w:sz w:val="20"/>
          <w:szCs w:val="20"/>
        </w:rPr>
        <w:t xml:space="preserve">: </w:t>
      </w:r>
      <w:r w:rsidR="00300A8D" w:rsidRPr="00A45056">
        <w:rPr>
          <w:rFonts w:ascii="Verdana" w:hAnsi="Verdana"/>
          <w:color w:val="000000" w:themeColor="text1"/>
          <w:sz w:val="20"/>
          <w:szCs w:val="20"/>
        </w:rPr>
        <w:t>l’</w:t>
      </w:r>
      <w:r w:rsidRPr="00A45056">
        <w:rPr>
          <w:rFonts w:ascii="Verdana" w:hAnsi="Verdana"/>
          <w:color w:val="000000" w:themeColor="text1"/>
          <w:sz w:val="20"/>
          <w:szCs w:val="20"/>
        </w:rPr>
        <w:t>art 11, comma 10 ha disposto che tutte le farmacie istituite ai sensi del comma 1, lettera b), dell'art.11 del D.L. n. 1/2012 (vale a dire quelle istituite nelle stazioni ferroviarie, negli aeroporti civili a traffico internazionale, ecc.) fino all'anno 2022, devono essere offerte in prelazione ai comuni in cui le stesse hanno sede e: «</w:t>
      </w:r>
      <w:r w:rsidRPr="00A45056">
        <w:rPr>
          <w:rFonts w:ascii="Verdana" w:hAnsi="Verdana"/>
          <w:i/>
          <w:color w:val="000000" w:themeColor="text1"/>
          <w:sz w:val="20"/>
          <w:szCs w:val="20"/>
        </w:rPr>
        <w:t>I comuni non possono cedere la titolarità o la gestione delle farmacie per le quali hanno esercitato il diritto di prelazione ai sensi del presente comma. In caso di rinuncia alla titolarità di una di dette farmacie da parte del comune, la sede farmaceutica è dichiarata vacante</w:t>
      </w:r>
      <w:r w:rsidRPr="00A45056">
        <w:rPr>
          <w:rFonts w:ascii="Verdana" w:hAnsi="Verdana"/>
          <w:color w:val="000000" w:themeColor="text1"/>
          <w:sz w:val="20"/>
          <w:szCs w:val="20"/>
        </w:rPr>
        <w:t>».</w:t>
      </w:r>
    </w:p>
    <w:p w:rsidR="00F73F88" w:rsidRPr="00A45056" w:rsidRDefault="00F73F88" w:rsidP="00F73F88">
      <w:pPr>
        <w:shd w:val="clear" w:color="auto" w:fill="FEFFFF"/>
        <w:spacing w:line="360" w:lineRule="auto"/>
        <w:ind w:firstLine="708"/>
        <w:jc w:val="both"/>
        <w:rPr>
          <w:rFonts w:ascii="Verdana" w:hAnsi="Verdana"/>
          <w:bCs/>
          <w:color w:val="000000" w:themeColor="text1"/>
          <w:sz w:val="20"/>
          <w:szCs w:val="20"/>
        </w:rPr>
      </w:pPr>
      <w:r w:rsidRPr="00A45056">
        <w:rPr>
          <w:rFonts w:ascii="Verdana" w:hAnsi="Verdana"/>
          <w:bCs/>
          <w:color w:val="000000" w:themeColor="text1"/>
          <w:sz w:val="20"/>
          <w:szCs w:val="20"/>
        </w:rPr>
        <w:t xml:space="preserve">In </w:t>
      </w:r>
      <w:r w:rsidR="00300A8D" w:rsidRPr="00A45056">
        <w:rPr>
          <w:rFonts w:ascii="Verdana" w:hAnsi="Verdana"/>
          <w:bCs/>
          <w:color w:val="000000" w:themeColor="text1"/>
          <w:sz w:val="20"/>
          <w:szCs w:val="20"/>
        </w:rPr>
        <w:t>definitiva</w:t>
      </w:r>
      <w:r w:rsidRPr="00A45056">
        <w:rPr>
          <w:rFonts w:ascii="Verdana" w:hAnsi="Verdana"/>
          <w:bCs/>
          <w:color w:val="000000" w:themeColor="text1"/>
          <w:sz w:val="20"/>
          <w:szCs w:val="20"/>
        </w:rPr>
        <w:t xml:space="preserve">, il legislatore ha previsto espressamente un divieto di alienazione delle sedi farmaceutiche previste in aggiunta alla pianificazione ordinaria, in ottica pro-concorrenziale (art. all’art. 11, comma 1 e 10, del D.L. 1/2012), </w:t>
      </w:r>
      <w:proofErr w:type="gramStart"/>
      <w:r w:rsidRPr="00A45056">
        <w:rPr>
          <w:rFonts w:ascii="Verdana" w:hAnsi="Verdana"/>
          <w:bCs/>
          <w:color w:val="000000" w:themeColor="text1"/>
          <w:sz w:val="20"/>
          <w:szCs w:val="20"/>
        </w:rPr>
        <w:t>mentre  comunque</w:t>
      </w:r>
      <w:proofErr w:type="gramEnd"/>
      <w:r w:rsidRPr="00A45056">
        <w:rPr>
          <w:rFonts w:ascii="Verdana" w:hAnsi="Verdana"/>
          <w:bCs/>
          <w:color w:val="000000" w:themeColor="text1"/>
          <w:sz w:val="20"/>
          <w:szCs w:val="20"/>
        </w:rPr>
        <w:t xml:space="preserve">, in generale, l’alienazione della farmacia comunale, potrà avvenire solo una volta soddisfatta la </w:t>
      </w:r>
      <w:r w:rsidRPr="00A45056">
        <w:rPr>
          <w:rFonts w:ascii="Verdana" w:hAnsi="Verdana"/>
          <w:bCs/>
          <w:i/>
          <w:color w:val="000000" w:themeColor="text1"/>
          <w:sz w:val="20"/>
          <w:szCs w:val="20"/>
        </w:rPr>
        <w:t>ratio</w:t>
      </w:r>
      <w:r w:rsidRPr="00A45056">
        <w:rPr>
          <w:rFonts w:ascii="Verdana" w:hAnsi="Verdana"/>
          <w:bCs/>
          <w:color w:val="000000" w:themeColor="text1"/>
          <w:sz w:val="20"/>
          <w:szCs w:val="20"/>
        </w:rPr>
        <w:t xml:space="preserve"> sociale della prelazione medesima, in quanto non </w:t>
      </w:r>
      <w:r w:rsidR="00CE72BB" w:rsidRPr="00A45056">
        <w:rPr>
          <w:rFonts w:ascii="Verdana" w:hAnsi="Verdana"/>
          <w:bCs/>
          <w:color w:val="000000" w:themeColor="text1"/>
          <w:sz w:val="20"/>
          <w:szCs w:val="20"/>
        </w:rPr>
        <w:t>può ammettersi</w:t>
      </w:r>
      <w:r w:rsidRPr="00A45056">
        <w:rPr>
          <w:rFonts w:ascii="Verdana" w:hAnsi="Verdana"/>
          <w:bCs/>
          <w:color w:val="000000" w:themeColor="text1"/>
          <w:sz w:val="20"/>
          <w:szCs w:val="20"/>
        </w:rPr>
        <w:t xml:space="preserve"> un utilizzo meramente strumentale ed “economico” della prelazione.</w:t>
      </w:r>
    </w:p>
    <w:p w:rsidR="00F91B03" w:rsidRPr="00A45056" w:rsidRDefault="00CE72BB" w:rsidP="00F91B03">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La disciplina dell’alienazione delle farmacie comunali, dunque, </w:t>
      </w:r>
      <w:r w:rsidR="00F91B03" w:rsidRPr="00A45056">
        <w:rPr>
          <w:rFonts w:ascii="Verdana" w:hAnsi="Verdana"/>
          <w:color w:val="000000" w:themeColor="text1"/>
          <w:sz w:val="20"/>
          <w:szCs w:val="20"/>
        </w:rPr>
        <w:t xml:space="preserve">appare un’evidenza logica e sistematica </w:t>
      </w:r>
      <w:r w:rsidR="00F73F88" w:rsidRPr="00A45056">
        <w:rPr>
          <w:rFonts w:ascii="Verdana" w:hAnsi="Verdana"/>
          <w:color w:val="000000" w:themeColor="text1"/>
          <w:sz w:val="20"/>
          <w:szCs w:val="20"/>
        </w:rPr>
        <w:t xml:space="preserve">ulteriore </w:t>
      </w:r>
      <w:r w:rsidR="00F91B03" w:rsidRPr="00A45056">
        <w:rPr>
          <w:rFonts w:ascii="Verdana" w:hAnsi="Verdana"/>
          <w:color w:val="000000" w:themeColor="text1"/>
          <w:sz w:val="20"/>
          <w:szCs w:val="20"/>
        </w:rPr>
        <w:t>dell’inammissibilità di una separazione tra titolarità e gestione (in questo senso TAR Piemonte</w:t>
      </w:r>
      <w:r w:rsidR="001D3194">
        <w:rPr>
          <w:rFonts w:ascii="Verdana" w:hAnsi="Verdana"/>
          <w:color w:val="000000" w:themeColor="text1"/>
          <w:sz w:val="20"/>
          <w:szCs w:val="20"/>
        </w:rPr>
        <w:t>,</w:t>
      </w:r>
      <w:r w:rsidR="00F91B03" w:rsidRPr="00A45056">
        <w:rPr>
          <w:rFonts w:ascii="Verdana" w:hAnsi="Verdana"/>
          <w:color w:val="000000" w:themeColor="text1"/>
          <w:sz w:val="20"/>
          <w:szCs w:val="20"/>
        </w:rPr>
        <w:t xml:space="preserve"> </w:t>
      </w:r>
      <w:proofErr w:type="spellStart"/>
      <w:r w:rsidR="00F91B03" w:rsidRPr="00A45056">
        <w:rPr>
          <w:rFonts w:ascii="Verdana" w:hAnsi="Verdana"/>
          <w:color w:val="000000" w:themeColor="text1"/>
          <w:sz w:val="20"/>
          <w:szCs w:val="20"/>
        </w:rPr>
        <w:t>Sez</w:t>
      </w:r>
      <w:proofErr w:type="spellEnd"/>
      <w:r w:rsidR="00F91B03" w:rsidRPr="00A45056">
        <w:rPr>
          <w:rFonts w:ascii="Verdana" w:hAnsi="Verdana"/>
          <w:color w:val="000000" w:themeColor="text1"/>
          <w:sz w:val="20"/>
          <w:szCs w:val="20"/>
        </w:rPr>
        <w:t xml:space="preserve"> II, </w:t>
      </w:r>
      <w:r w:rsidR="001D3194">
        <w:rPr>
          <w:rFonts w:ascii="Verdana" w:hAnsi="Verdana"/>
          <w:color w:val="000000" w:themeColor="text1"/>
          <w:sz w:val="20"/>
          <w:szCs w:val="20"/>
        </w:rPr>
        <w:t xml:space="preserve">n. </w:t>
      </w:r>
      <w:r w:rsidR="00F91B03" w:rsidRPr="00A45056">
        <w:rPr>
          <w:rFonts w:ascii="Verdana" w:hAnsi="Verdana"/>
          <w:color w:val="000000" w:themeColor="text1"/>
          <w:sz w:val="20"/>
          <w:szCs w:val="20"/>
        </w:rPr>
        <w:t>767/2013).</w:t>
      </w:r>
    </w:p>
    <w:p w:rsidR="00F82F45" w:rsidRPr="00A45056" w:rsidRDefault="00300A8D" w:rsidP="00F82F4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color w:val="000000" w:themeColor="text1"/>
          <w:sz w:val="20"/>
          <w:szCs w:val="20"/>
        </w:rPr>
        <w:t>5.1.2.2.</w:t>
      </w:r>
      <w:r w:rsidR="005A467F" w:rsidRPr="00A45056">
        <w:rPr>
          <w:rFonts w:ascii="Verdana" w:hAnsi="Verdana"/>
          <w:b/>
          <w:color w:val="000000" w:themeColor="text1"/>
          <w:sz w:val="20"/>
          <w:szCs w:val="20"/>
        </w:rPr>
        <w:t xml:space="preserve"> </w:t>
      </w:r>
      <w:r w:rsidR="005A467F" w:rsidRPr="00A45056">
        <w:rPr>
          <w:rFonts w:ascii="Verdana" w:hAnsi="Verdana"/>
          <w:color w:val="000000" w:themeColor="text1"/>
          <w:sz w:val="20"/>
          <w:szCs w:val="20"/>
        </w:rPr>
        <w:t xml:space="preserve">Per altro verso, non vale a </w:t>
      </w:r>
      <w:r w:rsidR="00587C26" w:rsidRPr="00A45056">
        <w:rPr>
          <w:rFonts w:ascii="Verdana" w:hAnsi="Verdana"/>
          <w:color w:val="000000" w:themeColor="text1"/>
          <w:sz w:val="20"/>
          <w:szCs w:val="20"/>
        </w:rPr>
        <w:t>suffragare</w:t>
      </w:r>
      <w:r w:rsidR="005A467F" w:rsidRPr="00A45056">
        <w:rPr>
          <w:rFonts w:ascii="Verdana" w:hAnsi="Verdana"/>
          <w:color w:val="000000" w:themeColor="text1"/>
          <w:sz w:val="20"/>
          <w:szCs w:val="20"/>
        </w:rPr>
        <w:t xml:space="preserve"> l</w:t>
      </w:r>
      <w:r w:rsidR="00587C26" w:rsidRPr="00A45056">
        <w:rPr>
          <w:rFonts w:ascii="Verdana" w:hAnsi="Verdana"/>
          <w:color w:val="000000" w:themeColor="text1"/>
          <w:sz w:val="20"/>
          <w:szCs w:val="20"/>
        </w:rPr>
        <w:t>’</w:t>
      </w:r>
      <w:r w:rsidR="005A467F" w:rsidRPr="00A45056">
        <w:rPr>
          <w:rFonts w:ascii="Verdana" w:hAnsi="Verdana"/>
          <w:color w:val="000000" w:themeColor="text1"/>
          <w:sz w:val="20"/>
          <w:szCs w:val="20"/>
        </w:rPr>
        <w:t>ori</w:t>
      </w:r>
      <w:r w:rsidR="00587C26" w:rsidRPr="00A45056">
        <w:rPr>
          <w:rFonts w:ascii="Verdana" w:hAnsi="Verdana"/>
          <w:color w:val="000000" w:themeColor="text1"/>
          <w:sz w:val="20"/>
          <w:szCs w:val="20"/>
        </w:rPr>
        <w:t>en</w:t>
      </w:r>
      <w:r w:rsidR="005A467F" w:rsidRPr="00A45056">
        <w:rPr>
          <w:rFonts w:ascii="Verdana" w:hAnsi="Verdana"/>
          <w:color w:val="000000" w:themeColor="text1"/>
          <w:sz w:val="20"/>
          <w:szCs w:val="20"/>
        </w:rPr>
        <w:t>t</w:t>
      </w:r>
      <w:r w:rsidR="00587C26" w:rsidRPr="00A45056">
        <w:rPr>
          <w:rFonts w:ascii="Verdana" w:hAnsi="Verdana"/>
          <w:color w:val="000000" w:themeColor="text1"/>
          <w:sz w:val="20"/>
          <w:szCs w:val="20"/>
        </w:rPr>
        <w:t>a</w:t>
      </w:r>
      <w:r w:rsidR="005A467F" w:rsidRPr="00A45056">
        <w:rPr>
          <w:rFonts w:ascii="Verdana" w:hAnsi="Verdana"/>
          <w:color w:val="000000" w:themeColor="text1"/>
          <w:sz w:val="20"/>
          <w:szCs w:val="20"/>
        </w:rPr>
        <w:t xml:space="preserve">mento </w:t>
      </w:r>
      <w:r w:rsidR="00C275A4" w:rsidRPr="00A45056">
        <w:rPr>
          <w:rFonts w:ascii="Verdana" w:hAnsi="Verdana"/>
          <w:color w:val="000000" w:themeColor="text1"/>
          <w:sz w:val="20"/>
          <w:szCs w:val="20"/>
        </w:rPr>
        <w:t>favorevole all’estensione della modalità di gestione a mezzo di società mista a prevalente capitale privato nel settore delle farmacie</w:t>
      </w:r>
      <w:r w:rsidR="00735E64" w:rsidRPr="00A45056">
        <w:rPr>
          <w:rFonts w:ascii="Verdana" w:hAnsi="Verdana"/>
          <w:color w:val="000000" w:themeColor="text1"/>
          <w:sz w:val="20"/>
          <w:szCs w:val="20"/>
        </w:rPr>
        <w:t xml:space="preserve"> la tesi secondo la quale l’evoluzione del modello di gestione previsto dall’art. 9 della Legge Mario</w:t>
      </w:r>
      <w:r w:rsidR="003B031A" w:rsidRPr="00A45056">
        <w:rPr>
          <w:rFonts w:ascii="Verdana" w:hAnsi="Verdana"/>
          <w:color w:val="000000" w:themeColor="text1"/>
          <w:sz w:val="20"/>
          <w:szCs w:val="20"/>
        </w:rPr>
        <w:t>tti sarebbe imposto dal</w:t>
      </w:r>
      <w:r w:rsidR="00735E64" w:rsidRPr="00A45056">
        <w:rPr>
          <w:rFonts w:ascii="Verdana" w:hAnsi="Verdana"/>
          <w:color w:val="000000" w:themeColor="text1"/>
          <w:sz w:val="20"/>
          <w:szCs w:val="20"/>
        </w:rPr>
        <w:t>l’Unione europea ed in particolar modo dal correlato diritto per la concorrenza.</w:t>
      </w:r>
    </w:p>
    <w:p w:rsidR="003B031A" w:rsidRPr="00A45056" w:rsidRDefault="00DB3661" w:rsidP="00F82F4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 proposito, occorre ricordare che la</w:t>
      </w:r>
      <w:r w:rsidR="003B031A" w:rsidRPr="00A45056">
        <w:rPr>
          <w:rFonts w:ascii="Verdana" w:hAnsi="Verdana"/>
          <w:color w:val="000000" w:themeColor="text1"/>
          <w:sz w:val="20"/>
          <w:szCs w:val="20"/>
        </w:rPr>
        <w:t xml:space="preserve"> concorrenza costituisce </w:t>
      </w:r>
      <w:r w:rsidRPr="00A45056">
        <w:rPr>
          <w:rFonts w:ascii="Verdana" w:hAnsi="Verdana"/>
          <w:color w:val="000000" w:themeColor="text1"/>
          <w:sz w:val="20"/>
          <w:szCs w:val="20"/>
        </w:rPr>
        <w:t xml:space="preserve">altresì </w:t>
      </w:r>
      <w:r w:rsidR="003B031A" w:rsidRPr="00A45056">
        <w:rPr>
          <w:rFonts w:ascii="Verdana" w:hAnsi="Verdana"/>
          <w:color w:val="000000" w:themeColor="text1"/>
          <w:sz w:val="20"/>
          <w:szCs w:val="20"/>
        </w:rPr>
        <w:t xml:space="preserve">un principio immanente al nostro ordinamento interno, ivi radicato già prima della sua espressa menzione </w:t>
      </w:r>
      <w:r w:rsidR="003B031A" w:rsidRPr="00A45056">
        <w:rPr>
          <w:rFonts w:ascii="Verdana" w:hAnsi="Verdana"/>
          <w:color w:val="000000" w:themeColor="text1"/>
          <w:sz w:val="20"/>
          <w:szCs w:val="20"/>
        </w:rPr>
        <w:lastRenderedPageBreak/>
        <w:t xml:space="preserve">nel testo della carta costituzionale con la riforma del 2001 (cfr. per tutti Corte costituzionale </w:t>
      </w:r>
      <w:proofErr w:type="spellStart"/>
      <w:r w:rsidR="003B031A" w:rsidRPr="00A45056">
        <w:rPr>
          <w:rFonts w:ascii="Verdana" w:hAnsi="Verdana"/>
          <w:color w:val="000000" w:themeColor="text1"/>
          <w:sz w:val="20"/>
          <w:szCs w:val="20"/>
        </w:rPr>
        <w:t>sent</w:t>
      </w:r>
      <w:proofErr w:type="spellEnd"/>
      <w:r w:rsidR="003B031A" w:rsidRPr="00A45056">
        <w:rPr>
          <w:rFonts w:ascii="Verdana" w:hAnsi="Verdana"/>
          <w:color w:val="000000" w:themeColor="text1"/>
          <w:sz w:val="20"/>
          <w:szCs w:val="20"/>
        </w:rPr>
        <w:t>. n. 14/2004). In proposito, sempre la Corte costituzionale ha più volte affermato (</w:t>
      </w:r>
      <w:proofErr w:type="spellStart"/>
      <w:r w:rsidR="003B031A" w:rsidRPr="00A45056">
        <w:rPr>
          <w:rFonts w:ascii="Verdana" w:hAnsi="Verdana"/>
          <w:color w:val="000000" w:themeColor="text1"/>
          <w:sz w:val="20"/>
          <w:szCs w:val="20"/>
        </w:rPr>
        <w:t>sent</w:t>
      </w:r>
      <w:proofErr w:type="spellEnd"/>
      <w:r w:rsidR="003B031A" w:rsidRPr="00A45056">
        <w:rPr>
          <w:rFonts w:ascii="Verdana" w:hAnsi="Verdana"/>
          <w:color w:val="000000" w:themeColor="text1"/>
          <w:sz w:val="20"/>
          <w:szCs w:val="20"/>
        </w:rPr>
        <w:t xml:space="preserve">. </w:t>
      </w:r>
      <w:proofErr w:type="spellStart"/>
      <w:proofErr w:type="gramStart"/>
      <w:r w:rsidR="003B031A" w:rsidRPr="00A45056">
        <w:rPr>
          <w:rFonts w:ascii="Verdana" w:hAnsi="Verdana"/>
          <w:color w:val="000000" w:themeColor="text1"/>
          <w:sz w:val="20"/>
          <w:szCs w:val="20"/>
        </w:rPr>
        <w:t>nn</w:t>
      </w:r>
      <w:proofErr w:type="spellEnd"/>
      <w:proofErr w:type="gramEnd"/>
      <w:r w:rsidR="003B031A" w:rsidRPr="00A45056">
        <w:rPr>
          <w:rFonts w:ascii="Verdana" w:hAnsi="Verdana"/>
          <w:color w:val="000000" w:themeColor="text1"/>
          <w:sz w:val="20"/>
          <w:szCs w:val="20"/>
        </w:rPr>
        <w:t xml:space="preserve">. 325/2010 e 46/2013) che la disciplina comunitaria contiene principi minimi ed indefettibili per la tutela del richiamato principio, fermo </w:t>
      </w:r>
      <w:r w:rsidR="00836F99">
        <w:rPr>
          <w:rFonts w:ascii="Verdana" w:hAnsi="Verdana"/>
          <w:color w:val="000000" w:themeColor="text1"/>
          <w:sz w:val="20"/>
          <w:szCs w:val="20"/>
        </w:rPr>
        <w:t xml:space="preserve">restando che </w:t>
      </w:r>
      <w:r w:rsidR="003B031A" w:rsidRPr="00A45056">
        <w:rPr>
          <w:rFonts w:ascii="Verdana" w:hAnsi="Verdana"/>
          <w:color w:val="000000" w:themeColor="text1"/>
          <w:sz w:val="20"/>
          <w:szCs w:val="20"/>
        </w:rPr>
        <w:t xml:space="preserve">il </w:t>
      </w:r>
      <w:r w:rsidR="0001598A">
        <w:rPr>
          <w:rFonts w:ascii="Verdana" w:hAnsi="Verdana"/>
          <w:color w:val="000000" w:themeColor="text1"/>
          <w:sz w:val="20"/>
          <w:szCs w:val="20"/>
        </w:rPr>
        <w:t>L</w:t>
      </w:r>
      <w:r w:rsidR="003B031A" w:rsidRPr="00A45056">
        <w:rPr>
          <w:rFonts w:ascii="Verdana" w:hAnsi="Verdana"/>
          <w:color w:val="000000" w:themeColor="text1"/>
          <w:sz w:val="20"/>
          <w:szCs w:val="20"/>
        </w:rPr>
        <w:t>egislatore nazionale mantiene</w:t>
      </w:r>
      <w:r w:rsidR="003B031A" w:rsidRPr="00A45056">
        <w:rPr>
          <w:rFonts w:ascii="Verdana" w:hAnsi="Verdana"/>
          <w:i/>
          <w:color w:val="000000" w:themeColor="text1"/>
          <w:sz w:val="20"/>
          <w:szCs w:val="20"/>
        </w:rPr>
        <w:t xml:space="preserve"> </w:t>
      </w:r>
      <w:proofErr w:type="spellStart"/>
      <w:r w:rsidR="003B031A" w:rsidRPr="00A45056">
        <w:rPr>
          <w:rFonts w:ascii="Verdana" w:hAnsi="Verdana"/>
          <w:i/>
          <w:color w:val="000000" w:themeColor="text1"/>
          <w:sz w:val="20"/>
          <w:szCs w:val="20"/>
        </w:rPr>
        <w:t>naturaliter</w:t>
      </w:r>
      <w:proofErr w:type="spellEnd"/>
      <w:r w:rsidR="003B031A" w:rsidRPr="00A45056">
        <w:rPr>
          <w:rFonts w:ascii="Verdana" w:hAnsi="Verdana"/>
          <w:color w:val="000000" w:themeColor="text1"/>
          <w:sz w:val="20"/>
          <w:szCs w:val="20"/>
        </w:rPr>
        <w:t xml:space="preserve"> un “margine di apprezzamento” in virtù del quale può ben prevedere </w:t>
      </w:r>
      <w:proofErr w:type="spellStart"/>
      <w:r w:rsidR="003B031A" w:rsidRPr="004753CD">
        <w:rPr>
          <w:rFonts w:ascii="Verdana" w:hAnsi="Verdana"/>
          <w:i/>
          <w:color w:val="000000" w:themeColor="text1"/>
          <w:sz w:val="20"/>
          <w:szCs w:val="20"/>
        </w:rPr>
        <w:t>standard</w:t>
      </w:r>
      <w:r w:rsidR="001D3194" w:rsidRPr="004753CD">
        <w:rPr>
          <w:rFonts w:ascii="Verdana" w:hAnsi="Verdana"/>
          <w:i/>
          <w:color w:val="000000" w:themeColor="text1"/>
          <w:sz w:val="20"/>
          <w:szCs w:val="20"/>
        </w:rPr>
        <w:t>s</w:t>
      </w:r>
      <w:proofErr w:type="spellEnd"/>
      <w:r w:rsidR="003B031A" w:rsidRPr="004753CD">
        <w:rPr>
          <w:rFonts w:ascii="Verdana" w:hAnsi="Verdana"/>
          <w:i/>
          <w:color w:val="000000" w:themeColor="text1"/>
          <w:sz w:val="20"/>
          <w:szCs w:val="20"/>
        </w:rPr>
        <w:t xml:space="preserve"> </w:t>
      </w:r>
      <w:r w:rsidR="003B031A" w:rsidRPr="00A45056">
        <w:rPr>
          <w:rFonts w:ascii="Verdana" w:hAnsi="Verdana"/>
          <w:color w:val="000000" w:themeColor="text1"/>
          <w:sz w:val="20"/>
          <w:szCs w:val="20"/>
        </w:rPr>
        <w:t xml:space="preserve">di tutela più elevati di concorrenza, ovvero una maggiore flessibilità, ma solo in funzione degli obiettivi “sociali” e collettivi di cui all’art. 3, comma 2, e 41, commi 2 e 3, </w:t>
      </w:r>
      <w:proofErr w:type="spellStart"/>
      <w:r w:rsidR="003B031A" w:rsidRPr="00A45056">
        <w:rPr>
          <w:rFonts w:ascii="Verdana" w:hAnsi="Verdana"/>
          <w:color w:val="000000" w:themeColor="text1"/>
          <w:sz w:val="20"/>
          <w:szCs w:val="20"/>
        </w:rPr>
        <w:t>Cost</w:t>
      </w:r>
      <w:proofErr w:type="spellEnd"/>
      <w:r w:rsidR="003B031A" w:rsidRPr="00A45056">
        <w:rPr>
          <w:rFonts w:ascii="Verdana" w:hAnsi="Verdana"/>
          <w:color w:val="000000" w:themeColor="text1"/>
          <w:sz w:val="20"/>
          <w:szCs w:val="20"/>
        </w:rPr>
        <w:t>. (</w:t>
      </w:r>
      <w:proofErr w:type="gramStart"/>
      <w:r w:rsidR="003B031A" w:rsidRPr="00A45056">
        <w:rPr>
          <w:rFonts w:ascii="Verdana" w:hAnsi="Verdana"/>
          <w:color w:val="000000" w:themeColor="text1"/>
          <w:sz w:val="20"/>
          <w:szCs w:val="20"/>
        </w:rPr>
        <w:t>cfr.</w:t>
      </w:r>
      <w:proofErr w:type="gramEnd"/>
      <w:r w:rsidR="003B031A" w:rsidRPr="00A45056">
        <w:rPr>
          <w:rFonts w:ascii="Verdana" w:hAnsi="Verdana"/>
          <w:color w:val="000000" w:themeColor="text1"/>
          <w:sz w:val="20"/>
          <w:szCs w:val="20"/>
        </w:rPr>
        <w:t xml:space="preserve"> C. </w:t>
      </w:r>
      <w:proofErr w:type="spellStart"/>
      <w:r w:rsidR="003B031A" w:rsidRPr="00A45056">
        <w:rPr>
          <w:rFonts w:ascii="Verdana" w:hAnsi="Verdana"/>
          <w:color w:val="000000" w:themeColor="text1"/>
          <w:sz w:val="20"/>
          <w:szCs w:val="20"/>
        </w:rPr>
        <w:t>cost</w:t>
      </w:r>
      <w:proofErr w:type="spellEnd"/>
      <w:r w:rsidR="003B031A" w:rsidRPr="00A45056">
        <w:rPr>
          <w:rFonts w:ascii="Verdana" w:hAnsi="Verdana"/>
          <w:color w:val="000000" w:themeColor="text1"/>
          <w:sz w:val="20"/>
          <w:szCs w:val="20"/>
        </w:rPr>
        <w:t>. n. 270/2010, punto 8 e 8.1)</w:t>
      </w:r>
    </w:p>
    <w:p w:rsidR="00673C7E" w:rsidRPr="00A45056" w:rsidRDefault="006D45D2" w:rsidP="00673C7E">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Ciò premesso</w:t>
      </w:r>
      <w:r w:rsidR="0060641D" w:rsidRPr="00A45056">
        <w:rPr>
          <w:rFonts w:ascii="Verdana" w:hAnsi="Verdana"/>
          <w:color w:val="000000" w:themeColor="text1"/>
          <w:sz w:val="20"/>
          <w:szCs w:val="20"/>
        </w:rPr>
        <w:t>, l</w:t>
      </w:r>
      <w:r w:rsidR="003E6441" w:rsidRPr="00A45056">
        <w:rPr>
          <w:rFonts w:ascii="Verdana" w:hAnsi="Verdana"/>
          <w:color w:val="000000" w:themeColor="text1"/>
          <w:sz w:val="20"/>
          <w:szCs w:val="20"/>
        </w:rPr>
        <w:t>a restrizione dei modelli di affidamento non persegue affatto una logica anticoncorrenziale, ma semmai l’esatto contrario</w:t>
      </w:r>
      <w:r w:rsidR="001905A5" w:rsidRPr="00A45056">
        <w:rPr>
          <w:rFonts w:ascii="Verdana" w:hAnsi="Verdana"/>
          <w:color w:val="000000" w:themeColor="text1"/>
          <w:sz w:val="20"/>
          <w:szCs w:val="20"/>
        </w:rPr>
        <w:t>.</w:t>
      </w:r>
    </w:p>
    <w:p w:rsidR="00494925" w:rsidRPr="00A45056" w:rsidRDefault="00673C7E" w:rsidP="00730740">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Se da un lato </w:t>
      </w:r>
      <w:r w:rsidR="00F63A96" w:rsidRPr="00A45056">
        <w:rPr>
          <w:rFonts w:ascii="Verdana" w:hAnsi="Verdana"/>
          <w:color w:val="000000" w:themeColor="text1"/>
          <w:sz w:val="20"/>
          <w:szCs w:val="20"/>
        </w:rPr>
        <w:t>la giurisprudenza della Corte di Giustizia UE ha ritenuto compatibile col diritto comunitario le legislazioni nazionali che impongono, ad esempio, distanze minime per l’apertura di nuove farmacie, in quanto i Trattati ben ammettono restrizioni alla libertà di stabilimento giustificate dall’obiettivo di garantire alla popolazione una fornitura di medicinali sicura e di qualità (Corte di Giustizia UE, sentenza 1 giugno 2010, C- 57</w:t>
      </w:r>
      <w:r w:rsidR="00730740" w:rsidRPr="00A45056">
        <w:rPr>
          <w:rFonts w:ascii="Verdana" w:hAnsi="Verdana"/>
          <w:color w:val="000000" w:themeColor="text1"/>
          <w:sz w:val="20"/>
          <w:szCs w:val="20"/>
        </w:rPr>
        <w:t xml:space="preserve">0/ 2007), per altro verso, </w:t>
      </w:r>
      <w:r w:rsidR="00A0336F" w:rsidRPr="00A45056">
        <w:rPr>
          <w:rFonts w:ascii="Verdana" w:hAnsi="Verdana"/>
          <w:color w:val="000000" w:themeColor="text1"/>
          <w:sz w:val="20"/>
          <w:szCs w:val="20"/>
        </w:rPr>
        <w:t xml:space="preserve">non può ignorarsi che </w:t>
      </w:r>
      <w:r w:rsidR="00256B28" w:rsidRPr="00A45056">
        <w:rPr>
          <w:rFonts w:ascii="Verdana" w:hAnsi="Verdana"/>
          <w:color w:val="000000" w:themeColor="text1"/>
          <w:sz w:val="20"/>
          <w:szCs w:val="20"/>
        </w:rPr>
        <w:t xml:space="preserve">la </w:t>
      </w:r>
      <w:r w:rsidR="00F63A96" w:rsidRPr="00A45056">
        <w:rPr>
          <w:rFonts w:ascii="Verdana" w:hAnsi="Verdana"/>
          <w:color w:val="000000" w:themeColor="text1"/>
          <w:sz w:val="20"/>
          <w:szCs w:val="20"/>
        </w:rPr>
        <w:t xml:space="preserve">concessione a terzi </w:t>
      </w:r>
      <w:r w:rsidR="007A38C8" w:rsidRPr="00A45056">
        <w:rPr>
          <w:rFonts w:ascii="Verdana" w:hAnsi="Verdana"/>
          <w:color w:val="000000" w:themeColor="text1"/>
          <w:sz w:val="20"/>
          <w:szCs w:val="20"/>
        </w:rPr>
        <w:t>(o altre forme co</w:t>
      </w:r>
      <w:r w:rsidR="000006EF" w:rsidRPr="00A45056">
        <w:rPr>
          <w:rFonts w:ascii="Verdana" w:hAnsi="Verdana"/>
          <w:color w:val="000000" w:themeColor="text1"/>
          <w:sz w:val="20"/>
          <w:szCs w:val="20"/>
        </w:rPr>
        <w:t>ntrattuali che istituiscano a fa</w:t>
      </w:r>
      <w:r w:rsidR="00D11C38" w:rsidRPr="00A45056">
        <w:rPr>
          <w:rFonts w:ascii="Verdana" w:hAnsi="Verdana"/>
          <w:color w:val="000000" w:themeColor="text1"/>
          <w:sz w:val="20"/>
          <w:szCs w:val="20"/>
        </w:rPr>
        <w:t>vo</w:t>
      </w:r>
      <w:r w:rsidR="007A38C8" w:rsidRPr="00A45056">
        <w:rPr>
          <w:rFonts w:ascii="Verdana" w:hAnsi="Verdana"/>
          <w:color w:val="000000" w:themeColor="text1"/>
          <w:sz w:val="20"/>
          <w:szCs w:val="20"/>
        </w:rPr>
        <w:t>re di un soggetto “diritti speciali”</w:t>
      </w:r>
      <w:r w:rsidR="00D11C38" w:rsidRPr="00A45056">
        <w:rPr>
          <w:rFonts w:ascii="Verdana" w:hAnsi="Verdana"/>
          <w:color w:val="000000" w:themeColor="text1"/>
          <w:sz w:val="20"/>
          <w:szCs w:val="20"/>
        </w:rPr>
        <w:t>,</w:t>
      </w:r>
      <w:r w:rsidR="000006EF" w:rsidRPr="00A45056">
        <w:rPr>
          <w:rFonts w:ascii="Verdana" w:hAnsi="Verdana"/>
          <w:color w:val="000000" w:themeColor="text1"/>
          <w:sz w:val="20"/>
          <w:szCs w:val="20"/>
        </w:rPr>
        <w:t xml:space="preserve"> cfr. art. 106 TFUE</w:t>
      </w:r>
      <w:r w:rsidR="007A38C8" w:rsidRPr="00A45056">
        <w:rPr>
          <w:rFonts w:ascii="Verdana" w:hAnsi="Verdana"/>
          <w:color w:val="000000" w:themeColor="text1"/>
          <w:sz w:val="20"/>
          <w:szCs w:val="20"/>
        </w:rPr>
        <w:t xml:space="preserve">) </w:t>
      </w:r>
      <w:r w:rsidR="00836F99" w:rsidRPr="00A45056">
        <w:rPr>
          <w:rFonts w:ascii="Verdana" w:hAnsi="Verdana"/>
          <w:color w:val="000000" w:themeColor="text1"/>
          <w:sz w:val="20"/>
          <w:szCs w:val="20"/>
        </w:rPr>
        <w:t>costituisc</w:t>
      </w:r>
      <w:r w:rsidR="00023C7F">
        <w:rPr>
          <w:rFonts w:ascii="Verdana" w:hAnsi="Verdana"/>
          <w:color w:val="000000" w:themeColor="text1"/>
          <w:sz w:val="20"/>
          <w:szCs w:val="20"/>
        </w:rPr>
        <w:t>a</w:t>
      </w:r>
      <w:r w:rsidR="00836F99" w:rsidRPr="00A45056">
        <w:rPr>
          <w:rFonts w:ascii="Verdana" w:hAnsi="Verdana"/>
          <w:color w:val="000000" w:themeColor="text1"/>
          <w:sz w:val="20"/>
          <w:szCs w:val="20"/>
        </w:rPr>
        <w:t xml:space="preserve"> </w:t>
      </w:r>
      <w:r w:rsidR="00A0336F" w:rsidRPr="00A45056">
        <w:rPr>
          <w:rFonts w:ascii="Verdana" w:hAnsi="Verdana"/>
          <w:color w:val="000000" w:themeColor="text1"/>
          <w:sz w:val="20"/>
          <w:szCs w:val="20"/>
        </w:rPr>
        <w:t xml:space="preserve">di per sé </w:t>
      </w:r>
      <w:r w:rsidR="00F63A96" w:rsidRPr="00A45056">
        <w:rPr>
          <w:rFonts w:ascii="Verdana" w:hAnsi="Verdana"/>
          <w:color w:val="000000" w:themeColor="text1"/>
          <w:sz w:val="20"/>
          <w:szCs w:val="20"/>
        </w:rPr>
        <w:t>una deroga alle ordinarie procedure competitive</w:t>
      </w:r>
      <w:r w:rsidR="004B5CC6" w:rsidRPr="00A45056">
        <w:rPr>
          <w:rFonts w:ascii="Verdana" w:hAnsi="Verdana"/>
          <w:color w:val="000000" w:themeColor="text1"/>
          <w:sz w:val="20"/>
          <w:szCs w:val="20"/>
        </w:rPr>
        <w:t xml:space="preserve"> che, nel sistema vigente, si svolgono per l’accesso alla titolarità delle farmacie, a livello regionale.</w:t>
      </w:r>
    </w:p>
    <w:p w:rsidR="00661954" w:rsidRPr="00A45056" w:rsidRDefault="00730740"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w:t>
      </w:r>
      <w:r w:rsidR="00D92CF7" w:rsidRPr="00A45056">
        <w:rPr>
          <w:rFonts w:ascii="Verdana" w:hAnsi="Verdana"/>
          <w:color w:val="000000" w:themeColor="text1"/>
          <w:sz w:val="20"/>
          <w:szCs w:val="20"/>
        </w:rPr>
        <w:t>e farmacie private</w:t>
      </w:r>
      <w:r w:rsidRPr="00A45056">
        <w:rPr>
          <w:rFonts w:ascii="Verdana" w:hAnsi="Verdana"/>
          <w:color w:val="000000" w:themeColor="text1"/>
          <w:sz w:val="20"/>
          <w:szCs w:val="20"/>
        </w:rPr>
        <w:t>, che fanno</w:t>
      </w:r>
      <w:r w:rsidR="00735E64" w:rsidRPr="00A45056">
        <w:rPr>
          <w:rFonts w:ascii="Verdana" w:hAnsi="Verdana"/>
          <w:color w:val="000000" w:themeColor="text1"/>
          <w:sz w:val="20"/>
          <w:szCs w:val="20"/>
        </w:rPr>
        <w:t xml:space="preserve"> parte</w:t>
      </w:r>
      <w:r w:rsidR="00D92CF7" w:rsidRPr="00A45056">
        <w:rPr>
          <w:rFonts w:ascii="Verdana" w:hAnsi="Verdana"/>
          <w:color w:val="000000" w:themeColor="text1"/>
          <w:sz w:val="20"/>
          <w:szCs w:val="20"/>
        </w:rPr>
        <w:t xml:space="preserve"> d</w:t>
      </w:r>
      <w:r w:rsidR="008E0F6D" w:rsidRPr="00A45056">
        <w:rPr>
          <w:rFonts w:ascii="Verdana" w:hAnsi="Verdana"/>
          <w:color w:val="000000" w:themeColor="text1"/>
          <w:sz w:val="20"/>
          <w:szCs w:val="20"/>
        </w:rPr>
        <w:t>el sistema sanitario nazionale</w:t>
      </w:r>
      <w:r w:rsidRPr="00A45056">
        <w:rPr>
          <w:rFonts w:ascii="Verdana" w:hAnsi="Verdana"/>
          <w:color w:val="000000" w:themeColor="text1"/>
          <w:sz w:val="20"/>
          <w:szCs w:val="20"/>
        </w:rPr>
        <w:t>, sono infatti oggetto di</w:t>
      </w:r>
      <w:r w:rsidR="005876A9" w:rsidRPr="00A45056">
        <w:rPr>
          <w:rFonts w:ascii="Verdana" w:hAnsi="Verdana"/>
          <w:color w:val="000000" w:themeColor="text1"/>
          <w:sz w:val="20"/>
          <w:szCs w:val="20"/>
        </w:rPr>
        <w:t xml:space="preserve"> una disciplina restrittiva all</w:t>
      </w:r>
      <w:r w:rsidRPr="00A45056">
        <w:rPr>
          <w:rFonts w:ascii="Verdana" w:hAnsi="Verdana"/>
          <w:color w:val="000000" w:themeColor="text1"/>
          <w:sz w:val="20"/>
          <w:szCs w:val="20"/>
        </w:rPr>
        <w:t>’</w:t>
      </w:r>
      <w:r w:rsidR="005876A9" w:rsidRPr="00A45056">
        <w:rPr>
          <w:rFonts w:ascii="Verdana" w:hAnsi="Verdana"/>
          <w:color w:val="000000" w:themeColor="text1"/>
          <w:sz w:val="20"/>
          <w:szCs w:val="20"/>
        </w:rPr>
        <w:t>a</w:t>
      </w:r>
      <w:r w:rsidRPr="00A45056">
        <w:rPr>
          <w:rFonts w:ascii="Verdana" w:hAnsi="Verdana"/>
          <w:color w:val="000000" w:themeColor="text1"/>
          <w:sz w:val="20"/>
          <w:szCs w:val="20"/>
        </w:rPr>
        <w:t>ccesso al mercato, a mezzo dell’</w:t>
      </w:r>
      <w:r w:rsidR="00A0336F" w:rsidRPr="00A45056">
        <w:rPr>
          <w:rFonts w:ascii="Verdana" w:hAnsi="Verdana"/>
          <w:color w:val="000000" w:themeColor="text1"/>
          <w:sz w:val="20"/>
          <w:szCs w:val="20"/>
        </w:rPr>
        <w:t>autorizzazione regionale</w:t>
      </w:r>
      <w:r w:rsidR="005876A9" w:rsidRPr="00A45056">
        <w:rPr>
          <w:rFonts w:ascii="Verdana" w:hAnsi="Verdana"/>
          <w:color w:val="000000" w:themeColor="text1"/>
          <w:sz w:val="20"/>
          <w:szCs w:val="20"/>
        </w:rPr>
        <w:t>, per la qua</w:t>
      </w:r>
      <w:r w:rsidRPr="00A45056">
        <w:rPr>
          <w:rFonts w:ascii="Verdana" w:hAnsi="Verdana"/>
          <w:color w:val="000000" w:themeColor="text1"/>
          <w:sz w:val="20"/>
          <w:szCs w:val="20"/>
        </w:rPr>
        <w:t>le, peraltro, è</w:t>
      </w:r>
      <w:r w:rsidR="005876A9" w:rsidRPr="00A45056">
        <w:rPr>
          <w:rFonts w:ascii="Verdana" w:hAnsi="Verdana"/>
          <w:color w:val="000000" w:themeColor="text1"/>
          <w:sz w:val="20"/>
          <w:szCs w:val="20"/>
        </w:rPr>
        <w:t xml:space="preserve"> pre</w:t>
      </w:r>
      <w:r w:rsidRPr="00A45056">
        <w:rPr>
          <w:rFonts w:ascii="Verdana" w:hAnsi="Verdana"/>
          <w:color w:val="000000" w:themeColor="text1"/>
          <w:sz w:val="20"/>
          <w:szCs w:val="20"/>
        </w:rPr>
        <w:t xml:space="preserve">vista una procedura concorsuale, per titoli ed esami, il cui esito </w:t>
      </w:r>
      <w:r w:rsidR="00661954" w:rsidRPr="00A45056">
        <w:rPr>
          <w:rFonts w:ascii="Verdana" w:hAnsi="Verdana"/>
          <w:color w:val="000000" w:themeColor="text1"/>
          <w:sz w:val="20"/>
          <w:szCs w:val="20"/>
        </w:rPr>
        <w:t>è il conseguimento non della mera gestione, ma della titolarità delle farmacie, fermi restando gli obblighi di legge in chiave “sociale”</w:t>
      </w:r>
      <w:r w:rsidR="00A0336F" w:rsidRPr="00A45056">
        <w:rPr>
          <w:rFonts w:ascii="Verdana" w:hAnsi="Verdana"/>
          <w:color w:val="000000" w:themeColor="text1"/>
          <w:sz w:val="20"/>
          <w:szCs w:val="20"/>
        </w:rPr>
        <w:t xml:space="preserve"> </w:t>
      </w:r>
      <w:r w:rsidR="00023C7F">
        <w:rPr>
          <w:rFonts w:ascii="Verdana" w:hAnsi="Verdana"/>
          <w:color w:val="000000" w:themeColor="text1"/>
          <w:sz w:val="20"/>
          <w:szCs w:val="20"/>
        </w:rPr>
        <w:t xml:space="preserve">derivanti </w:t>
      </w:r>
      <w:r w:rsidR="00A0336F" w:rsidRPr="00A45056">
        <w:rPr>
          <w:rFonts w:ascii="Verdana" w:hAnsi="Verdana"/>
          <w:color w:val="000000" w:themeColor="text1"/>
          <w:sz w:val="20"/>
          <w:szCs w:val="20"/>
        </w:rPr>
        <w:t>dalla normativa di settore e dalla legislazione sul servizio sanitario nazionale</w:t>
      </w:r>
      <w:r w:rsidR="00661954" w:rsidRPr="00A45056">
        <w:rPr>
          <w:rFonts w:ascii="Verdana" w:hAnsi="Verdana"/>
          <w:color w:val="000000" w:themeColor="text1"/>
          <w:sz w:val="20"/>
          <w:szCs w:val="20"/>
        </w:rPr>
        <w:t>.</w:t>
      </w:r>
    </w:p>
    <w:p w:rsidR="00F63A96" w:rsidRPr="00A45056" w:rsidRDefault="00A0336F"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In </w:t>
      </w:r>
      <w:proofErr w:type="spellStart"/>
      <w:r w:rsidRPr="00A45056">
        <w:rPr>
          <w:rFonts w:ascii="Verdana" w:hAnsi="Verdana"/>
          <w:color w:val="000000" w:themeColor="text1"/>
          <w:sz w:val="20"/>
          <w:szCs w:val="20"/>
        </w:rPr>
        <w:t>un ottica</w:t>
      </w:r>
      <w:proofErr w:type="spellEnd"/>
      <w:r w:rsidRPr="00A45056">
        <w:rPr>
          <w:rFonts w:ascii="Verdana" w:hAnsi="Verdana"/>
          <w:color w:val="000000" w:themeColor="text1"/>
          <w:sz w:val="20"/>
          <w:szCs w:val="20"/>
        </w:rPr>
        <w:t xml:space="preserve"> realmente pro-concorrenziale</w:t>
      </w:r>
      <w:r w:rsidR="009B01D6" w:rsidRPr="00A45056">
        <w:rPr>
          <w:rFonts w:ascii="Verdana" w:hAnsi="Verdana"/>
          <w:color w:val="000000" w:themeColor="text1"/>
          <w:sz w:val="20"/>
          <w:szCs w:val="20"/>
        </w:rPr>
        <w:t xml:space="preserve"> e nel rispetto del principio di proporzionalità</w:t>
      </w:r>
      <w:r w:rsidRPr="00A45056">
        <w:rPr>
          <w:rFonts w:ascii="Verdana" w:hAnsi="Verdana"/>
          <w:color w:val="000000" w:themeColor="text1"/>
          <w:sz w:val="20"/>
          <w:szCs w:val="20"/>
        </w:rPr>
        <w:t>, n</w:t>
      </w:r>
      <w:r w:rsidR="00F63A96" w:rsidRPr="00A45056">
        <w:rPr>
          <w:rFonts w:ascii="Verdana" w:hAnsi="Verdana"/>
          <w:color w:val="000000" w:themeColor="text1"/>
          <w:sz w:val="20"/>
          <w:szCs w:val="20"/>
        </w:rPr>
        <w:t>ulla impedirebbe, a</w:t>
      </w:r>
      <w:r w:rsidR="00D92CF7" w:rsidRPr="00A45056">
        <w:rPr>
          <w:rFonts w:ascii="Verdana" w:hAnsi="Verdana"/>
          <w:color w:val="000000" w:themeColor="text1"/>
          <w:sz w:val="20"/>
          <w:szCs w:val="20"/>
        </w:rPr>
        <w:t>i comuni</w:t>
      </w:r>
      <w:r w:rsidR="00661954" w:rsidRPr="00A45056">
        <w:rPr>
          <w:rFonts w:ascii="Verdana" w:hAnsi="Verdana"/>
          <w:color w:val="000000" w:themeColor="text1"/>
          <w:sz w:val="20"/>
          <w:szCs w:val="20"/>
        </w:rPr>
        <w:t xml:space="preserve">, </w:t>
      </w:r>
      <w:r w:rsidR="00F63A96" w:rsidRPr="00A45056">
        <w:rPr>
          <w:rFonts w:ascii="Verdana" w:hAnsi="Verdana"/>
          <w:color w:val="000000" w:themeColor="text1"/>
          <w:sz w:val="20"/>
          <w:szCs w:val="20"/>
        </w:rPr>
        <w:t xml:space="preserve">di stipulare apposite convenzioni con i titolari di </w:t>
      </w:r>
      <w:r w:rsidR="00580528" w:rsidRPr="00A45056">
        <w:rPr>
          <w:rFonts w:ascii="Verdana" w:hAnsi="Verdana"/>
          <w:color w:val="000000" w:themeColor="text1"/>
          <w:sz w:val="20"/>
          <w:szCs w:val="20"/>
        </w:rPr>
        <w:t xml:space="preserve">farmacie private </w:t>
      </w:r>
      <w:r w:rsidR="000A251B" w:rsidRPr="00A45056">
        <w:rPr>
          <w:rFonts w:ascii="Verdana" w:hAnsi="Verdana"/>
          <w:color w:val="000000" w:themeColor="text1"/>
          <w:sz w:val="20"/>
          <w:szCs w:val="20"/>
        </w:rPr>
        <w:t xml:space="preserve">per garantire </w:t>
      </w:r>
      <w:r w:rsidR="00F63A96" w:rsidRPr="00A45056">
        <w:rPr>
          <w:rFonts w:ascii="Verdana" w:hAnsi="Verdana"/>
          <w:color w:val="000000" w:themeColor="text1"/>
          <w:sz w:val="20"/>
          <w:szCs w:val="20"/>
        </w:rPr>
        <w:t>determinati standard qualitativi e quantitativi</w:t>
      </w:r>
      <w:r w:rsidR="000A251B" w:rsidRPr="00A45056">
        <w:rPr>
          <w:rFonts w:ascii="Verdana" w:hAnsi="Verdana"/>
          <w:color w:val="000000" w:themeColor="text1"/>
          <w:sz w:val="20"/>
          <w:szCs w:val="20"/>
        </w:rPr>
        <w:t xml:space="preserve"> di servizio, </w:t>
      </w:r>
      <w:r w:rsidR="00CF19C9" w:rsidRPr="00A45056">
        <w:rPr>
          <w:rFonts w:ascii="Verdana" w:hAnsi="Verdana"/>
          <w:color w:val="000000" w:themeColor="text1"/>
          <w:sz w:val="20"/>
          <w:szCs w:val="20"/>
        </w:rPr>
        <w:t xml:space="preserve">per </w:t>
      </w:r>
      <w:r w:rsidR="00661954" w:rsidRPr="00A45056">
        <w:rPr>
          <w:rFonts w:ascii="Verdana" w:hAnsi="Verdana"/>
          <w:color w:val="000000" w:themeColor="text1"/>
          <w:sz w:val="20"/>
          <w:szCs w:val="20"/>
        </w:rPr>
        <w:t>assolvere le richiamate</w:t>
      </w:r>
      <w:r w:rsidR="00CF19C9" w:rsidRPr="00A45056">
        <w:rPr>
          <w:rFonts w:ascii="Verdana" w:hAnsi="Verdana"/>
          <w:color w:val="000000" w:themeColor="text1"/>
          <w:sz w:val="20"/>
          <w:szCs w:val="20"/>
        </w:rPr>
        <w:t xml:space="preserve"> funzioni “sociali”, quale, ad esempio, l’erogazione di prestazioni di servizi a condizioni di favore, per determinate </w:t>
      </w:r>
      <w:r w:rsidR="00023C7F" w:rsidRPr="00A45056">
        <w:rPr>
          <w:rFonts w:ascii="Verdana" w:hAnsi="Verdana"/>
          <w:color w:val="000000" w:themeColor="text1"/>
          <w:sz w:val="20"/>
          <w:szCs w:val="20"/>
        </w:rPr>
        <w:t>categori</w:t>
      </w:r>
      <w:r w:rsidR="00023C7F">
        <w:rPr>
          <w:rFonts w:ascii="Verdana" w:hAnsi="Verdana"/>
          <w:color w:val="000000" w:themeColor="text1"/>
          <w:sz w:val="20"/>
          <w:szCs w:val="20"/>
        </w:rPr>
        <w:t>e</w:t>
      </w:r>
      <w:r w:rsidR="00023C7F" w:rsidRPr="00A45056">
        <w:rPr>
          <w:rFonts w:ascii="Verdana" w:hAnsi="Verdana"/>
          <w:color w:val="000000" w:themeColor="text1"/>
          <w:sz w:val="20"/>
          <w:szCs w:val="20"/>
        </w:rPr>
        <w:t xml:space="preserve"> </w:t>
      </w:r>
      <w:r w:rsidR="00CF19C9" w:rsidRPr="00A45056">
        <w:rPr>
          <w:rFonts w:ascii="Verdana" w:hAnsi="Verdana"/>
          <w:color w:val="000000" w:themeColor="text1"/>
          <w:sz w:val="20"/>
          <w:szCs w:val="20"/>
        </w:rPr>
        <w:t>di utenza</w:t>
      </w:r>
      <w:r w:rsidR="00F63A96" w:rsidRPr="00A45056">
        <w:rPr>
          <w:rFonts w:ascii="Verdana" w:hAnsi="Verdana"/>
          <w:color w:val="000000" w:themeColor="text1"/>
          <w:sz w:val="20"/>
          <w:szCs w:val="20"/>
        </w:rPr>
        <w:t xml:space="preserve">, </w:t>
      </w:r>
      <w:r w:rsidR="000A251B" w:rsidRPr="00A45056">
        <w:rPr>
          <w:rFonts w:ascii="Verdana" w:hAnsi="Verdana"/>
          <w:color w:val="000000" w:themeColor="text1"/>
          <w:sz w:val="20"/>
          <w:szCs w:val="20"/>
        </w:rPr>
        <w:t xml:space="preserve">oppure servizi accessori gratuiti, senza ricorrere, per il raggiungimento dello scopo, all’esercizio della prelazione </w:t>
      </w:r>
      <w:r w:rsidR="008E0F6D" w:rsidRPr="00A45056">
        <w:rPr>
          <w:rFonts w:ascii="Verdana" w:hAnsi="Verdana"/>
          <w:color w:val="000000" w:themeColor="text1"/>
          <w:sz w:val="20"/>
          <w:szCs w:val="20"/>
        </w:rPr>
        <w:t xml:space="preserve">e alla </w:t>
      </w:r>
      <w:r w:rsidR="00023C7F">
        <w:rPr>
          <w:rFonts w:ascii="Verdana" w:hAnsi="Verdana"/>
          <w:color w:val="000000" w:themeColor="text1"/>
          <w:sz w:val="20"/>
          <w:szCs w:val="20"/>
        </w:rPr>
        <w:t xml:space="preserve">conseguente </w:t>
      </w:r>
      <w:r w:rsidR="008E0F6D" w:rsidRPr="00A45056">
        <w:rPr>
          <w:rFonts w:ascii="Verdana" w:hAnsi="Verdana"/>
          <w:color w:val="000000" w:themeColor="text1"/>
          <w:sz w:val="20"/>
          <w:szCs w:val="20"/>
        </w:rPr>
        <w:t xml:space="preserve">sottrazione della </w:t>
      </w:r>
      <w:r w:rsidR="004C5F06">
        <w:rPr>
          <w:rFonts w:ascii="Verdana" w:hAnsi="Verdana"/>
          <w:color w:val="000000" w:themeColor="text1"/>
          <w:sz w:val="20"/>
          <w:szCs w:val="20"/>
        </w:rPr>
        <w:t xml:space="preserve">“titolarità” della </w:t>
      </w:r>
      <w:r w:rsidR="008E0F6D" w:rsidRPr="00A45056">
        <w:rPr>
          <w:rFonts w:ascii="Verdana" w:hAnsi="Verdana"/>
          <w:color w:val="000000" w:themeColor="text1"/>
          <w:sz w:val="20"/>
          <w:szCs w:val="20"/>
        </w:rPr>
        <w:t xml:space="preserve">sede </w:t>
      </w:r>
      <w:r w:rsidR="005B24A6">
        <w:rPr>
          <w:rFonts w:ascii="Verdana" w:hAnsi="Verdana"/>
          <w:color w:val="000000" w:themeColor="text1"/>
          <w:sz w:val="20"/>
          <w:szCs w:val="20"/>
        </w:rPr>
        <w:t>d</w:t>
      </w:r>
      <w:r w:rsidR="008E0F6D" w:rsidRPr="00A45056">
        <w:rPr>
          <w:rFonts w:ascii="Verdana" w:hAnsi="Verdana"/>
          <w:color w:val="000000" w:themeColor="text1"/>
          <w:sz w:val="20"/>
          <w:szCs w:val="20"/>
        </w:rPr>
        <w:t>alla concorrenza</w:t>
      </w:r>
      <w:r w:rsidR="00AD6170">
        <w:rPr>
          <w:rFonts w:ascii="Verdana" w:hAnsi="Verdana"/>
          <w:color w:val="000000" w:themeColor="text1"/>
          <w:sz w:val="20"/>
          <w:szCs w:val="20"/>
        </w:rPr>
        <w:t>.</w:t>
      </w:r>
      <w:r w:rsidR="008E0F6D" w:rsidRPr="00A45056">
        <w:rPr>
          <w:rFonts w:ascii="Verdana" w:hAnsi="Verdana"/>
          <w:color w:val="000000" w:themeColor="text1"/>
          <w:sz w:val="20"/>
          <w:szCs w:val="20"/>
        </w:rPr>
        <w:t xml:space="preserve"> </w:t>
      </w:r>
    </w:p>
    <w:p w:rsidR="0082202D" w:rsidRPr="00A45056" w:rsidRDefault="00D13407" w:rsidP="0082202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Inoltre, l’eventuale confronto competitivo per </w:t>
      </w:r>
      <w:r w:rsidR="00661954" w:rsidRPr="00A45056">
        <w:rPr>
          <w:rFonts w:ascii="Verdana" w:hAnsi="Verdana"/>
          <w:color w:val="000000" w:themeColor="text1"/>
          <w:sz w:val="20"/>
          <w:szCs w:val="20"/>
        </w:rPr>
        <w:t>la “gestione” del servizio</w:t>
      </w:r>
      <w:r w:rsidRPr="00A45056">
        <w:rPr>
          <w:rFonts w:ascii="Verdana" w:hAnsi="Verdana"/>
          <w:color w:val="000000" w:themeColor="text1"/>
          <w:sz w:val="20"/>
          <w:szCs w:val="20"/>
        </w:rPr>
        <w:t xml:space="preserve"> in concessione o con forme negoziali che realizzano effetti analoghi (società mista a capitale privato prevalente)</w:t>
      </w:r>
      <w:r w:rsidR="00661954" w:rsidRPr="00A45056">
        <w:rPr>
          <w:rFonts w:ascii="Verdana" w:hAnsi="Verdana"/>
          <w:color w:val="000000" w:themeColor="text1"/>
          <w:sz w:val="20"/>
          <w:szCs w:val="20"/>
        </w:rPr>
        <w:t>,</w:t>
      </w:r>
      <w:r w:rsidRPr="00A45056">
        <w:rPr>
          <w:rFonts w:ascii="Verdana" w:hAnsi="Verdana"/>
          <w:color w:val="000000" w:themeColor="text1"/>
          <w:sz w:val="20"/>
          <w:szCs w:val="20"/>
        </w:rPr>
        <w:t xml:space="preserve"> svolto </w:t>
      </w:r>
      <w:r w:rsidR="00661954" w:rsidRPr="00A45056">
        <w:rPr>
          <w:rFonts w:ascii="Verdana" w:hAnsi="Verdana"/>
          <w:color w:val="000000" w:themeColor="text1"/>
          <w:sz w:val="20"/>
          <w:szCs w:val="20"/>
        </w:rPr>
        <w:t xml:space="preserve">a livello locale, dopo la prelazione, </w:t>
      </w:r>
      <w:r w:rsidR="00DB3CA6" w:rsidRPr="00A45056">
        <w:rPr>
          <w:rFonts w:ascii="Verdana" w:hAnsi="Verdana"/>
          <w:color w:val="000000" w:themeColor="text1"/>
          <w:sz w:val="20"/>
          <w:szCs w:val="20"/>
        </w:rPr>
        <w:t xml:space="preserve">costituisce </w:t>
      </w:r>
      <w:r w:rsidRPr="00A45056">
        <w:rPr>
          <w:rFonts w:ascii="Verdana" w:hAnsi="Verdana"/>
          <w:color w:val="000000" w:themeColor="text1"/>
          <w:sz w:val="20"/>
          <w:szCs w:val="20"/>
        </w:rPr>
        <w:t xml:space="preserve">di per sé una </w:t>
      </w:r>
      <w:proofErr w:type="spellStart"/>
      <w:r w:rsidRPr="00A45056">
        <w:rPr>
          <w:rFonts w:ascii="Verdana" w:hAnsi="Verdana"/>
          <w:i/>
          <w:color w:val="000000" w:themeColor="text1"/>
          <w:sz w:val="20"/>
          <w:szCs w:val="20"/>
        </w:rPr>
        <w:t>deminutio</w:t>
      </w:r>
      <w:proofErr w:type="spellEnd"/>
      <w:r w:rsidRPr="00A45056">
        <w:rPr>
          <w:rFonts w:ascii="Verdana" w:hAnsi="Verdana"/>
          <w:color w:val="000000" w:themeColor="text1"/>
          <w:sz w:val="20"/>
          <w:szCs w:val="20"/>
        </w:rPr>
        <w:t xml:space="preserve"> dello </w:t>
      </w:r>
      <w:r w:rsidR="00ED1254" w:rsidRPr="00A45056">
        <w:rPr>
          <w:rFonts w:ascii="Verdana" w:hAnsi="Verdana"/>
          <w:color w:val="000000" w:themeColor="text1"/>
          <w:sz w:val="20"/>
          <w:szCs w:val="20"/>
        </w:rPr>
        <w:t>standard di concorrenza “per” il mercato</w:t>
      </w:r>
      <w:r w:rsidR="00DB3CA6"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garantito a livello regionale, per </w:t>
      </w:r>
      <w:r w:rsidR="001C0BBE" w:rsidRPr="00A45056">
        <w:rPr>
          <w:rFonts w:ascii="Verdana" w:hAnsi="Verdana"/>
          <w:color w:val="000000" w:themeColor="text1"/>
          <w:sz w:val="20"/>
          <w:szCs w:val="20"/>
        </w:rPr>
        <w:t>due motivi: da un lato, per la riduzione del</w:t>
      </w:r>
      <w:r w:rsidR="00190094" w:rsidRPr="00A45056">
        <w:rPr>
          <w:rFonts w:ascii="Verdana" w:hAnsi="Verdana"/>
          <w:color w:val="000000" w:themeColor="text1"/>
          <w:sz w:val="20"/>
          <w:szCs w:val="20"/>
        </w:rPr>
        <w:t>l’oggetto</w:t>
      </w:r>
      <w:r w:rsidR="001C0BBE" w:rsidRPr="00A45056">
        <w:rPr>
          <w:rFonts w:ascii="Verdana" w:hAnsi="Verdana"/>
          <w:color w:val="000000" w:themeColor="text1"/>
          <w:sz w:val="20"/>
          <w:szCs w:val="20"/>
        </w:rPr>
        <w:t xml:space="preserve"> del confronto competitivo</w:t>
      </w:r>
      <w:r w:rsidR="00190094" w:rsidRPr="00A45056">
        <w:rPr>
          <w:rFonts w:ascii="Verdana" w:hAnsi="Verdana"/>
          <w:color w:val="000000" w:themeColor="text1"/>
          <w:sz w:val="20"/>
          <w:szCs w:val="20"/>
        </w:rPr>
        <w:t xml:space="preserve"> </w:t>
      </w:r>
      <w:r w:rsidR="00FA0727" w:rsidRPr="00A45056">
        <w:rPr>
          <w:rFonts w:ascii="Verdana" w:hAnsi="Verdana"/>
          <w:color w:val="000000" w:themeColor="text1"/>
          <w:sz w:val="20"/>
          <w:szCs w:val="20"/>
        </w:rPr>
        <w:t>(</w:t>
      </w:r>
      <w:r w:rsidR="00DB3CA6" w:rsidRPr="00A45056">
        <w:rPr>
          <w:rFonts w:ascii="Verdana" w:hAnsi="Verdana"/>
          <w:color w:val="000000" w:themeColor="text1"/>
          <w:sz w:val="20"/>
          <w:szCs w:val="20"/>
        </w:rPr>
        <w:t>il bene conseguibile</w:t>
      </w:r>
      <w:r w:rsidR="00FA0727" w:rsidRPr="00A45056">
        <w:rPr>
          <w:rFonts w:ascii="Verdana" w:hAnsi="Verdana"/>
          <w:color w:val="000000" w:themeColor="text1"/>
          <w:sz w:val="20"/>
          <w:szCs w:val="20"/>
        </w:rPr>
        <w:t xml:space="preserve"> non è la titolarità, ma solo la </w:t>
      </w:r>
      <w:r w:rsidR="00DB3CA6" w:rsidRPr="00A45056">
        <w:rPr>
          <w:rFonts w:ascii="Verdana" w:hAnsi="Verdana"/>
          <w:color w:val="000000" w:themeColor="text1"/>
          <w:sz w:val="20"/>
          <w:szCs w:val="20"/>
        </w:rPr>
        <w:t>gestione</w:t>
      </w:r>
      <w:r w:rsidR="00FA0727" w:rsidRPr="00A45056">
        <w:rPr>
          <w:rFonts w:ascii="Verdana" w:hAnsi="Verdana"/>
          <w:color w:val="000000" w:themeColor="text1"/>
          <w:sz w:val="20"/>
          <w:szCs w:val="20"/>
        </w:rPr>
        <w:t xml:space="preserve"> della sede farmaceutica</w:t>
      </w:r>
      <w:r w:rsidR="00DB3CA6" w:rsidRPr="00A45056">
        <w:rPr>
          <w:rFonts w:ascii="Verdana" w:hAnsi="Verdana"/>
          <w:color w:val="000000" w:themeColor="text1"/>
          <w:sz w:val="20"/>
          <w:szCs w:val="20"/>
        </w:rPr>
        <w:t>)</w:t>
      </w:r>
      <w:r w:rsidR="001C0BBE" w:rsidRPr="00A45056">
        <w:rPr>
          <w:rFonts w:ascii="Verdana" w:hAnsi="Verdana"/>
          <w:color w:val="000000" w:themeColor="text1"/>
          <w:sz w:val="20"/>
          <w:szCs w:val="20"/>
        </w:rPr>
        <w:t>, per altro verso,</w:t>
      </w:r>
      <w:r w:rsidR="00DB3CA6" w:rsidRPr="00A45056">
        <w:rPr>
          <w:rFonts w:ascii="Verdana" w:hAnsi="Verdana"/>
          <w:color w:val="000000" w:themeColor="text1"/>
          <w:sz w:val="20"/>
          <w:szCs w:val="20"/>
        </w:rPr>
        <w:t xml:space="preserve"> per </w:t>
      </w:r>
      <w:r w:rsidR="00FA0727" w:rsidRPr="00A45056">
        <w:rPr>
          <w:rFonts w:ascii="Verdana" w:hAnsi="Verdana"/>
          <w:color w:val="000000" w:themeColor="text1"/>
          <w:sz w:val="20"/>
          <w:szCs w:val="20"/>
        </w:rPr>
        <w:t>il</w:t>
      </w:r>
      <w:r w:rsidR="00DB3CA6" w:rsidRPr="00A45056">
        <w:rPr>
          <w:rFonts w:ascii="Verdana" w:hAnsi="Verdana"/>
          <w:color w:val="000000" w:themeColor="text1"/>
          <w:sz w:val="20"/>
          <w:szCs w:val="20"/>
        </w:rPr>
        <w:t xml:space="preserve"> po</w:t>
      </w:r>
      <w:r w:rsidR="00190094" w:rsidRPr="00A45056">
        <w:rPr>
          <w:rFonts w:ascii="Verdana" w:hAnsi="Verdana"/>
          <w:color w:val="000000" w:themeColor="text1"/>
          <w:sz w:val="20"/>
          <w:szCs w:val="20"/>
        </w:rPr>
        <w:t xml:space="preserve">tenziale </w:t>
      </w:r>
      <w:r w:rsidR="00FA0727" w:rsidRPr="00A45056">
        <w:rPr>
          <w:rFonts w:ascii="Verdana" w:hAnsi="Verdana"/>
          <w:color w:val="000000" w:themeColor="text1"/>
          <w:sz w:val="20"/>
          <w:szCs w:val="20"/>
        </w:rPr>
        <w:t xml:space="preserve">effetto </w:t>
      </w:r>
      <w:r w:rsidR="00DB3CA6" w:rsidRPr="00A45056">
        <w:rPr>
          <w:rFonts w:ascii="Verdana" w:hAnsi="Verdana"/>
          <w:color w:val="000000" w:themeColor="text1"/>
          <w:sz w:val="20"/>
          <w:szCs w:val="20"/>
        </w:rPr>
        <w:t>distorsi</w:t>
      </w:r>
      <w:r w:rsidR="00FA0727" w:rsidRPr="00A45056">
        <w:rPr>
          <w:rFonts w:ascii="Verdana" w:hAnsi="Verdana"/>
          <w:color w:val="000000" w:themeColor="text1"/>
          <w:sz w:val="20"/>
          <w:szCs w:val="20"/>
        </w:rPr>
        <w:t xml:space="preserve">vo che può produrre, in concreto, </w:t>
      </w:r>
      <w:r w:rsidR="00190094" w:rsidRPr="00A45056">
        <w:rPr>
          <w:rFonts w:ascii="Verdana" w:hAnsi="Verdana"/>
          <w:color w:val="000000" w:themeColor="text1"/>
          <w:sz w:val="20"/>
          <w:szCs w:val="20"/>
        </w:rPr>
        <w:t xml:space="preserve">la dislocazione spazio-temporale del confronto </w:t>
      </w:r>
      <w:r w:rsidR="00AC5C9A" w:rsidRPr="00A45056">
        <w:rPr>
          <w:rFonts w:ascii="Verdana" w:hAnsi="Verdana"/>
          <w:color w:val="000000" w:themeColor="text1"/>
          <w:sz w:val="20"/>
          <w:szCs w:val="20"/>
        </w:rPr>
        <w:t xml:space="preserve">competitivo </w:t>
      </w:r>
      <w:r w:rsidR="00190094" w:rsidRPr="00A45056">
        <w:rPr>
          <w:rFonts w:ascii="Verdana" w:hAnsi="Verdana"/>
          <w:color w:val="000000" w:themeColor="text1"/>
          <w:sz w:val="20"/>
          <w:szCs w:val="20"/>
        </w:rPr>
        <w:t xml:space="preserve">dalla sede </w:t>
      </w:r>
      <w:r w:rsidR="00190094" w:rsidRPr="00A45056">
        <w:rPr>
          <w:rFonts w:ascii="Verdana" w:hAnsi="Verdana"/>
          <w:color w:val="000000" w:themeColor="text1"/>
          <w:sz w:val="20"/>
          <w:szCs w:val="20"/>
        </w:rPr>
        <w:lastRenderedPageBreak/>
        <w:t xml:space="preserve">regionale a quella locale, </w:t>
      </w:r>
      <w:r w:rsidR="00FA0727" w:rsidRPr="00A45056">
        <w:rPr>
          <w:rFonts w:ascii="Verdana" w:hAnsi="Verdana"/>
          <w:color w:val="000000" w:themeColor="text1"/>
          <w:sz w:val="20"/>
          <w:szCs w:val="20"/>
        </w:rPr>
        <w:t xml:space="preserve">nell’accesso al mercato </w:t>
      </w:r>
      <w:r w:rsidR="0082202D" w:rsidRPr="00A45056">
        <w:rPr>
          <w:rFonts w:ascii="Verdana" w:hAnsi="Verdana"/>
          <w:color w:val="000000" w:themeColor="text1"/>
          <w:sz w:val="20"/>
          <w:szCs w:val="20"/>
        </w:rPr>
        <w:t>(</w:t>
      </w:r>
      <w:r w:rsidR="00FA0727" w:rsidRPr="00A45056">
        <w:rPr>
          <w:rFonts w:ascii="Verdana" w:hAnsi="Verdana"/>
          <w:color w:val="000000" w:themeColor="text1"/>
          <w:sz w:val="20"/>
          <w:szCs w:val="20"/>
        </w:rPr>
        <w:t xml:space="preserve">alterando </w:t>
      </w:r>
      <w:r w:rsidR="0082202D" w:rsidRPr="00A45056">
        <w:rPr>
          <w:rFonts w:ascii="Verdana" w:hAnsi="Verdana"/>
          <w:color w:val="000000" w:themeColor="text1"/>
          <w:sz w:val="20"/>
          <w:szCs w:val="20"/>
        </w:rPr>
        <w:t xml:space="preserve">l’identità e quantità dei possibili concorrenti: si pensi, </w:t>
      </w:r>
      <w:r w:rsidR="00FA0727" w:rsidRPr="00A45056">
        <w:rPr>
          <w:rFonts w:ascii="Verdana" w:hAnsi="Verdana"/>
          <w:color w:val="000000" w:themeColor="text1"/>
          <w:sz w:val="20"/>
          <w:szCs w:val="20"/>
        </w:rPr>
        <w:t>all’ipotesi in cui</w:t>
      </w:r>
      <w:r w:rsidR="00190094" w:rsidRPr="00A45056">
        <w:rPr>
          <w:rFonts w:ascii="Verdana" w:hAnsi="Verdana"/>
          <w:color w:val="000000" w:themeColor="text1"/>
          <w:sz w:val="20"/>
          <w:szCs w:val="20"/>
        </w:rPr>
        <w:t xml:space="preserve"> si </w:t>
      </w:r>
      <w:r w:rsidR="005B24A6" w:rsidRPr="00A45056">
        <w:rPr>
          <w:rFonts w:ascii="Verdana" w:hAnsi="Verdana"/>
          <w:color w:val="000000" w:themeColor="text1"/>
          <w:sz w:val="20"/>
          <w:szCs w:val="20"/>
        </w:rPr>
        <w:t>consent</w:t>
      </w:r>
      <w:r w:rsidR="005B24A6">
        <w:rPr>
          <w:rFonts w:ascii="Verdana" w:hAnsi="Verdana"/>
          <w:color w:val="000000" w:themeColor="text1"/>
          <w:sz w:val="20"/>
          <w:szCs w:val="20"/>
        </w:rPr>
        <w:t>a</w:t>
      </w:r>
      <w:r w:rsidR="00313936">
        <w:rPr>
          <w:rFonts w:ascii="Verdana" w:hAnsi="Verdana"/>
          <w:color w:val="000000" w:themeColor="text1"/>
          <w:sz w:val="20"/>
          <w:szCs w:val="20"/>
        </w:rPr>
        <w:t>, di fatto,</w:t>
      </w:r>
      <w:r w:rsidR="005B24A6" w:rsidRPr="00A45056">
        <w:rPr>
          <w:rFonts w:ascii="Verdana" w:hAnsi="Verdana"/>
          <w:color w:val="000000" w:themeColor="text1"/>
          <w:sz w:val="20"/>
          <w:szCs w:val="20"/>
        </w:rPr>
        <w:t xml:space="preserve"> </w:t>
      </w:r>
      <w:r w:rsidR="00190094" w:rsidRPr="00A45056">
        <w:rPr>
          <w:rFonts w:ascii="Verdana" w:hAnsi="Verdana"/>
          <w:color w:val="000000" w:themeColor="text1"/>
          <w:sz w:val="20"/>
          <w:szCs w:val="20"/>
        </w:rPr>
        <w:t>a determinati</w:t>
      </w:r>
      <w:r w:rsidR="0082202D" w:rsidRPr="00A45056">
        <w:rPr>
          <w:rFonts w:ascii="Verdana" w:hAnsi="Verdana"/>
          <w:color w:val="000000" w:themeColor="text1"/>
          <w:sz w:val="20"/>
          <w:szCs w:val="20"/>
        </w:rPr>
        <w:t xml:space="preserve"> </w:t>
      </w:r>
      <w:r w:rsidR="00AC5C9A" w:rsidRPr="00A45056">
        <w:rPr>
          <w:rFonts w:ascii="Verdana" w:hAnsi="Verdana"/>
          <w:color w:val="000000" w:themeColor="text1"/>
          <w:sz w:val="20"/>
          <w:szCs w:val="20"/>
        </w:rPr>
        <w:t xml:space="preserve">soggetti, </w:t>
      </w:r>
      <w:r w:rsidR="0082202D" w:rsidRPr="00A45056">
        <w:rPr>
          <w:rFonts w:ascii="Verdana" w:hAnsi="Verdana"/>
          <w:color w:val="000000" w:themeColor="text1"/>
          <w:sz w:val="20"/>
          <w:szCs w:val="20"/>
        </w:rPr>
        <w:t xml:space="preserve">al momento del concorso regionale </w:t>
      </w:r>
      <w:r w:rsidR="00AC5C9A" w:rsidRPr="00A45056">
        <w:rPr>
          <w:rFonts w:ascii="Verdana" w:hAnsi="Verdana"/>
          <w:color w:val="000000" w:themeColor="text1"/>
          <w:sz w:val="20"/>
          <w:szCs w:val="20"/>
        </w:rPr>
        <w:t>privi de</w:t>
      </w:r>
      <w:r w:rsidR="0082202D" w:rsidRPr="00A45056">
        <w:rPr>
          <w:rFonts w:ascii="Verdana" w:hAnsi="Verdana"/>
          <w:color w:val="000000" w:themeColor="text1"/>
          <w:sz w:val="20"/>
          <w:szCs w:val="20"/>
        </w:rPr>
        <w:t>i requisiti di partecipazione,</w:t>
      </w:r>
      <w:r w:rsidR="00AC5C9A" w:rsidRPr="00A45056">
        <w:rPr>
          <w:rFonts w:ascii="Verdana" w:hAnsi="Verdana"/>
          <w:color w:val="000000" w:themeColor="text1"/>
          <w:sz w:val="20"/>
          <w:szCs w:val="20"/>
        </w:rPr>
        <w:t xml:space="preserve"> di partecipare </w:t>
      </w:r>
      <w:r w:rsidR="005B24A6">
        <w:rPr>
          <w:rFonts w:ascii="Verdana" w:hAnsi="Verdana"/>
          <w:color w:val="000000" w:themeColor="text1"/>
          <w:sz w:val="20"/>
          <w:szCs w:val="20"/>
        </w:rPr>
        <w:t xml:space="preserve">al confronto competitivo </w:t>
      </w:r>
      <w:r w:rsidR="00AC5C9A" w:rsidRPr="00A45056">
        <w:rPr>
          <w:rFonts w:ascii="Verdana" w:hAnsi="Verdana"/>
          <w:color w:val="000000" w:themeColor="text1"/>
          <w:sz w:val="20"/>
          <w:szCs w:val="20"/>
        </w:rPr>
        <w:t>in sede locale</w:t>
      </w:r>
      <w:r w:rsidR="0082202D" w:rsidRPr="00A45056">
        <w:rPr>
          <w:rFonts w:ascii="Verdana" w:hAnsi="Verdana"/>
          <w:color w:val="000000" w:themeColor="text1"/>
          <w:sz w:val="20"/>
          <w:szCs w:val="20"/>
        </w:rPr>
        <w:t xml:space="preserve"> o alla successiva individuazione, con il bando locale,</w:t>
      </w:r>
      <w:r w:rsidR="00AC5C9A" w:rsidRPr="00A45056">
        <w:rPr>
          <w:rFonts w:ascii="Verdana" w:hAnsi="Verdana"/>
          <w:color w:val="000000" w:themeColor="text1"/>
          <w:sz w:val="20"/>
          <w:szCs w:val="20"/>
        </w:rPr>
        <w:t xml:space="preserve"> di requisiti escludenti)</w:t>
      </w:r>
      <w:r w:rsidR="0082202D" w:rsidRPr="00A45056">
        <w:rPr>
          <w:rFonts w:ascii="Verdana" w:hAnsi="Verdana"/>
          <w:color w:val="000000" w:themeColor="text1"/>
          <w:sz w:val="20"/>
          <w:szCs w:val="20"/>
        </w:rPr>
        <w:t xml:space="preserve">. </w:t>
      </w:r>
    </w:p>
    <w:p w:rsidR="00F63A96" w:rsidRPr="00A45056" w:rsidRDefault="00F63A96"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L’esegesi restrittiva della disciplina dell’art. 9 della Legge Mariotti, dunque, si manifesta in effetti come quella maggiormente conforme ai principi europei e costituzionali, attesa la necessità per l’interprete di conformarsi a quest’ultimi nell’interpretazione delle fonti “ordinarie”</w:t>
      </w:r>
      <w:r w:rsidR="00AF7D75"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cfr. per il diritto comunitario il </w:t>
      </w:r>
      <w:proofErr w:type="spellStart"/>
      <w:r w:rsidRPr="00A45056">
        <w:rPr>
          <w:rFonts w:ascii="Verdana" w:hAnsi="Verdana"/>
          <w:i/>
          <w:color w:val="000000" w:themeColor="text1"/>
          <w:sz w:val="20"/>
          <w:szCs w:val="20"/>
        </w:rPr>
        <w:t>leading</w:t>
      </w:r>
      <w:proofErr w:type="spellEnd"/>
      <w:r w:rsidRPr="00A45056">
        <w:rPr>
          <w:rFonts w:ascii="Verdana" w:hAnsi="Verdana"/>
          <w:i/>
          <w:color w:val="000000" w:themeColor="text1"/>
          <w:sz w:val="20"/>
          <w:szCs w:val="20"/>
        </w:rPr>
        <w:t xml:space="preserve"> case</w:t>
      </w:r>
      <w:r w:rsidRPr="00A45056">
        <w:rPr>
          <w:rFonts w:ascii="Verdana" w:hAnsi="Verdana"/>
          <w:color w:val="000000" w:themeColor="text1"/>
          <w:sz w:val="20"/>
          <w:szCs w:val="20"/>
        </w:rPr>
        <w:t xml:space="preserve"> Corte </w:t>
      </w:r>
      <w:proofErr w:type="spellStart"/>
      <w:r w:rsidRPr="00A45056">
        <w:rPr>
          <w:rFonts w:ascii="Verdana" w:hAnsi="Verdana"/>
          <w:color w:val="000000" w:themeColor="text1"/>
          <w:sz w:val="20"/>
          <w:szCs w:val="20"/>
        </w:rPr>
        <w:t>Giust</w:t>
      </w:r>
      <w:proofErr w:type="spellEnd"/>
      <w:r w:rsidRPr="00A45056">
        <w:rPr>
          <w:rFonts w:ascii="Verdana" w:hAnsi="Verdana"/>
          <w:color w:val="000000" w:themeColor="text1"/>
          <w:sz w:val="20"/>
          <w:szCs w:val="20"/>
        </w:rPr>
        <w:t xml:space="preserve">., 31 gennaio 1984, causa C-14/83, </w:t>
      </w:r>
      <w:r w:rsidRPr="00A45056">
        <w:rPr>
          <w:rFonts w:ascii="Verdana" w:hAnsi="Verdana"/>
          <w:i/>
          <w:color w:val="000000" w:themeColor="text1"/>
          <w:sz w:val="20"/>
          <w:szCs w:val="20"/>
        </w:rPr>
        <w:t xml:space="preserve">von </w:t>
      </w:r>
      <w:proofErr w:type="spellStart"/>
      <w:r w:rsidRPr="00A45056">
        <w:rPr>
          <w:rFonts w:ascii="Verdana" w:hAnsi="Verdana"/>
          <w:i/>
          <w:color w:val="000000" w:themeColor="text1"/>
          <w:sz w:val="20"/>
          <w:szCs w:val="20"/>
        </w:rPr>
        <w:t>Colson</w:t>
      </w:r>
      <w:proofErr w:type="spellEnd"/>
      <w:r w:rsidRPr="00A45056">
        <w:rPr>
          <w:rFonts w:ascii="Verdana" w:hAnsi="Verdana"/>
          <w:color w:val="000000" w:themeColor="text1"/>
          <w:sz w:val="20"/>
          <w:szCs w:val="20"/>
        </w:rPr>
        <w:t xml:space="preserve"> che fondava tale obbligo sull’art. 10 TCE che impone l’obbligo di fedeltà̀ degli Stati membri alla Comunità̀, oggi affermato addirittura per il diritto derivato e per le direttive non ancora scadute, cfr. Corte </w:t>
      </w:r>
      <w:proofErr w:type="spellStart"/>
      <w:r w:rsidRPr="00A45056">
        <w:rPr>
          <w:rFonts w:ascii="Verdana" w:hAnsi="Verdana"/>
          <w:color w:val="000000" w:themeColor="text1"/>
          <w:sz w:val="20"/>
          <w:szCs w:val="20"/>
        </w:rPr>
        <w:t>Giust</w:t>
      </w:r>
      <w:proofErr w:type="spellEnd"/>
      <w:r w:rsidRPr="00A45056">
        <w:rPr>
          <w:rFonts w:ascii="Verdana" w:hAnsi="Verdana"/>
          <w:color w:val="000000" w:themeColor="text1"/>
          <w:sz w:val="20"/>
          <w:szCs w:val="20"/>
        </w:rPr>
        <w:t xml:space="preserve">., Gr. Sez., 5 ottobre 2004, cause riunite da c-397/01 a c- 403/01, </w:t>
      </w:r>
      <w:r w:rsidRPr="00A45056">
        <w:rPr>
          <w:rFonts w:ascii="Verdana" w:hAnsi="Verdana"/>
          <w:i/>
          <w:color w:val="000000" w:themeColor="text1"/>
          <w:sz w:val="20"/>
          <w:szCs w:val="20"/>
        </w:rPr>
        <w:t>Pfeiffer</w:t>
      </w:r>
      <w:r w:rsidRPr="00A45056">
        <w:rPr>
          <w:rFonts w:ascii="Verdana" w:hAnsi="Verdana"/>
          <w:color w:val="000000" w:themeColor="text1"/>
          <w:sz w:val="20"/>
          <w:szCs w:val="20"/>
        </w:rPr>
        <w:t xml:space="preserve">, per il diritto della CEDU cfr. Corte costituzionale </w:t>
      </w:r>
      <w:proofErr w:type="spellStart"/>
      <w:r w:rsidRPr="00A45056">
        <w:rPr>
          <w:rFonts w:ascii="Verdana" w:hAnsi="Verdana"/>
          <w:color w:val="000000" w:themeColor="text1"/>
          <w:sz w:val="20"/>
          <w:szCs w:val="20"/>
        </w:rPr>
        <w:t>sent</w:t>
      </w:r>
      <w:proofErr w:type="spellEnd"/>
      <w:r w:rsidRPr="00A45056">
        <w:rPr>
          <w:rFonts w:ascii="Verdana" w:hAnsi="Verdana"/>
          <w:color w:val="000000" w:themeColor="text1"/>
          <w:sz w:val="20"/>
          <w:szCs w:val="20"/>
        </w:rPr>
        <w:t xml:space="preserve">. n. 239/2009, per il diritto costituzionale interno cfr. </w:t>
      </w:r>
      <w:r w:rsidRPr="00A45056">
        <w:rPr>
          <w:rFonts w:ascii="Verdana" w:hAnsi="Verdana"/>
          <w:i/>
          <w:color w:val="000000" w:themeColor="text1"/>
          <w:sz w:val="20"/>
          <w:szCs w:val="20"/>
        </w:rPr>
        <w:t xml:space="preserve">ex </w:t>
      </w:r>
      <w:proofErr w:type="spellStart"/>
      <w:r w:rsidRPr="00A45056">
        <w:rPr>
          <w:rFonts w:ascii="Verdana" w:hAnsi="Verdana"/>
          <w:i/>
          <w:color w:val="000000" w:themeColor="text1"/>
          <w:sz w:val="20"/>
          <w:szCs w:val="20"/>
        </w:rPr>
        <w:t>plurimis</w:t>
      </w:r>
      <w:proofErr w:type="spellEnd"/>
      <w:r w:rsidRPr="00A45056">
        <w:rPr>
          <w:rFonts w:ascii="Verdana" w:hAnsi="Verdana"/>
          <w:color w:val="000000" w:themeColor="text1"/>
          <w:sz w:val="20"/>
          <w:szCs w:val="20"/>
        </w:rPr>
        <w:t xml:space="preserve"> </w:t>
      </w:r>
      <w:proofErr w:type="spellStart"/>
      <w:r w:rsidRPr="00A45056">
        <w:rPr>
          <w:rFonts w:ascii="Verdana" w:hAnsi="Verdana"/>
          <w:color w:val="000000" w:themeColor="text1"/>
          <w:sz w:val="20"/>
          <w:szCs w:val="20"/>
        </w:rPr>
        <w:t>sent</w:t>
      </w:r>
      <w:proofErr w:type="spellEnd"/>
      <w:r w:rsidRPr="00A45056">
        <w:rPr>
          <w:rFonts w:ascii="Verdana" w:hAnsi="Verdana"/>
          <w:color w:val="000000" w:themeColor="text1"/>
          <w:sz w:val="20"/>
          <w:szCs w:val="20"/>
        </w:rPr>
        <w:t xml:space="preserve">. </w:t>
      </w:r>
      <w:proofErr w:type="spellStart"/>
      <w:proofErr w:type="gramStart"/>
      <w:r w:rsidRPr="00A45056">
        <w:rPr>
          <w:rFonts w:ascii="Verdana" w:hAnsi="Verdana"/>
          <w:color w:val="000000" w:themeColor="text1"/>
          <w:sz w:val="20"/>
          <w:szCs w:val="20"/>
        </w:rPr>
        <w:t>nn</w:t>
      </w:r>
      <w:proofErr w:type="spellEnd"/>
      <w:proofErr w:type="gramEnd"/>
      <w:r w:rsidRPr="00A45056">
        <w:rPr>
          <w:rFonts w:ascii="Verdana" w:hAnsi="Verdana"/>
          <w:color w:val="000000" w:themeColor="text1"/>
          <w:sz w:val="20"/>
          <w:szCs w:val="20"/>
        </w:rPr>
        <w:t xml:space="preserve">. 356/1996 e 173/2016). Infatti, </w:t>
      </w:r>
      <w:r w:rsidR="00C41A33">
        <w:rPr>
          <w:rFonts w:ascii="Verdana" w:hAnsi="Verdana"/>
          <w:color w:val="000000" w:themeColor="text1"/>
          <w:sz w:val="20"/>
          <w:szCs w:val="20"/>
        </w:rPr>
        <w:t xml:space="preserve">per quanto fin qui argomentato, </w:t>
      </w:r>
      <w:r w:rsidRPr="00A45056">
        <w:rPr>
          <w:rFonts w:ascii="Verdana" w:hAnsi="Verdana"/>
          <w:color w:val="000000" w:themeColor="text1"/>
          <w:sz w:val="20"/>
          <w:szCs w:val="20"/>
        </w:rPr>
        <w:t>tale opzione appare pienamente confor</w:t>
      </w:r>
      <w:r w:rsidR="0076398D" w:rsidRPr="00A45056">
        <w:rPr>
          <w:rFonts w:ascii="Verdana" w:hAnsi="Verdana"/>
          <w:color w:val="000000" w:themeColor="text1"/>
          <w:sz w:val="20"/>
          <w:szCs w:val="20"/>
        </w:rPr>
        <w:t>m</w:t>
      </w:r>
      <w:r w:rsidRPr="00A45056">
        <w:rPr>
          <w:rFonts w:ascii="Verdana" w:hAnsi="Verdana"/>
          <w:color w:val="000000" w:themeColor="text1"/>
          <w:sz w:val="20"/>
          <w:szCs w:val="20"/>
        </w:rPr>
        <w:t xml:space="preserve">e e consente di dare, pur nella riconosciuta </w:t>
      </w:r>
      <w:r w:rsidR="0076398D" w:rsidRPr="00A45056">
        <w:rPr>
          <w:rFonts w:ascii="Verdana" w:hAnsi="Verdana"/>
          <w:color w:val="000000" w:themeColor="text1"/>
          <w:sz w:val="20"/>
          <w:szCs w:val="20"/>
        </w:rPr>
        <w:t xml:space="preserve">specialità </w:t>
      </w:r>
      <w:r w:rsidRPr="00A45056">
        <w:rPr>
          <w:rFonts w:ascii="Verdana" w:hAnsi="Verdana"/>
          <w:color w:val="000000" w:themeColor="text1"/>
          <w:sz w:val="20"/>
          <w:szCs w:val="20"/>
        </w:rPr>
        <w:t>del servizio, la massima attuazione:</w:t>
      </w:r>
    </w:p>
    <w:p w:rsidR="00F63A96" w:rsidRPr="00A45056" w:rsidRDefault="00F63A96" w:rsidP="0088713A">
      <w:pPr>
        <w:numPr>
          <w:ilvl w:val="0"/>
          <w:numId w:val="41"/>
        </w:numPr>
        <w:shd w:val="clear" w:color="auto" w:fill="FEFFFF"/>
        <w:spacing w:line="360" w:lineRule="auto"/>
        <w:ind w:left="426"/>
        <w:jc w:val="both"/>
        <w:rPr>
          <w:rFonts w:ascii="Verdana" w:hAnsi="Verdana"/>
          <w:color w:val="000000" w:themeColor="text1"/>
          <w:sz w:val="20"/>
          <w:szCs w:val="20"/>
        </w:rPr>
      </w:pPr>
      <w:proofErr w:type="gramStart"/>
      <w:r w:rsidRPr="00A45056">
        <w:rPr>
          <w:rFonts w:ascii="Verdana" w:hAnsi="Verdana"/>
          <w:color w:val="000000" w:themeColor="text1"/>
          <w:sz w:val="20"/>
          <w:szCs w:val="20"/>
        </w:rPr>
        <w:t>ai</w:t>
      </w:r>
      <w:proofErr w:type="gramEnd"/>
      <w:r w:rsidRPr="00A45056">
        <w:rPr>
          <w:rFonts w:ascii="Verdana" w:hAnsi="Verdana"/>
          <w:color w:val="000000" w:themeColor="text1"/>
          <w:sz w:val="20"/>
          <w:szCs w:val="20"/>
        </w:rPr>
        <w:t xml:space="preserve"> principi di concorrenza e proporzionalità (cfr. le  Osservazioni dell’Avv. generale Tesauro nella causa C-68/89, Commissione c. Paesi Bassi sulle misure restrittive della concorrenza da parte delle legislazioni nazionali; cfr. altresì Cfr. sentenze Corte </w:t>
      </w:r>
      <w:proofErr w:type="spellStart"/>
      <w:r w:rsidRPr="00A45056">
        <w:rPr>
          <w:rFonts w:ascii="Verdana" w:hAnsi="Verdana"/>
          <w:color w:val="000000" w:themeColor="text1"/>
          <w:sz w:val="20"/>
          <w:szCs w:val="20"/>
        </w:rPr>
        <w:t>Edu</w:t>
      </w:r>
      <w:proofErr w:type="spellEnd"/>
      <w:r w:rsidRPr="00A45056">
        <w:rPr>
          <w:rFonts w:ascii="Verdana" w:hAnsi="Verdana"/>
          <w:color w:val="000000" w:themeColor="text1"/>
          <w:sz w:val="20"/>
          <w:szCs w:val="20"/>
        </w:rPr>
        <w:t xml:space="preserve">, </w:t>
      </w:r>
      <w:r w:rsidRPr="00A45056">
        <w:rPr>
          <w:rFonts w:ascii="Verdana" w:hAnsi="Verdana"/>
          <w:i/>
          <w:iCs/>
          <w:color w:val="000000" w:themeColor="text1"/>
          <w:sz w:val="20"/>
          <w:szCs w:val="20"/>
        </w:rPr>
        <w:t xml:space="preserve">Campbell e </w:t>
      </w:r>
      <w:proofErr w:type="spellStart"/>
      <w:r w:rsidRPr="00A45056">
        <w:rPr>
          <w:rFonts w:ascii="Verdana" w:hAnsi="Verdana"/>
          <w:i/>
          <w:iCs/>
          <w:color w:val="000000" w:themeColor="text1"/>
          <w:sz w:val="20"/>
          <w:szCs w:val="20"/>
        </w:rPr>
        <w:t>Fell</w:t>
      </w:r>
      <w:proofErr w:type="spellEnd"/>
      <w:r w:rsidRPr="00A45056">
        <w:rPr>
          <w:rFonts w:ascii="Verdana" w:hAnsi="Verdana"/>
          <w:i/>
          <w:iCs/>
          <w:color w:val="000000" w:themeColor="text1"/>
          <w:sz w:val="20"/>
          <w:szCs w:val="20"/>
        </w:rPr>
        <w:t xml:space="preserve"> v. UK, </w:t>
      </w:r>
      <w:r w:rsidRPr="00A45056">
        <w:rPr>
          <w:rFonts w:ascii="Verdana" w:hAnsi="Verdana"/>
          <w:color w:val="000000" w:themeColor="text1"/>
          <w:sz w:val="20"/>
          <w:szCs w:val="20"/>
        </w:rPr>
        <w:t xml:space="preserve">ric. N. 7819/77 del 28 giugno1982, par. 144 e </w:t>
      </w:r>
      <w:r w:rsidRPr="00A45056">
        <w:rPr>
          <w:rFonts w:ascii="Verdana" w:hAnsi="Verdana"/>
          <w:i/>
          <w:iCs/>
          <w:color w:val="000000" w:themeColor="text1"/>
          <w:sz w:val="20"/>
          <w:szCs w:val="20"/>
        </w:rPr>
        <w:t xml:space="preserve">Campbell v. UK, </w:t>
      </w:r>
      <w:r w:rsidRPr="00A45056">
        <w:rPr>
          <w:rFonts w:ascii="Verdana" w:hAnsi="Verdana"/>
          <w:color w:val="000000" w:themeColor="text1"/>
          <w:sz w:val="20"/>
          <w:szCs w:val="20"/>
        </w:rPr>
        <w:t>ric. N. 1358/88 del 25 marzo 1992, par. 52-53);</w:t>
      </w:r>
    </w:p>
    <w:p w:rsidR="00F63A96" w:rsidRPr="00A45056" w:rsidRDefault="00F63A96" w:rsidP="0088713A">
      <w:pPr>
        <w:numPr>
          <w:ilvl w:val="0"/>
          <w:numId w:val="41"/>
        </w:numPr>
        <w:shd w:val="clear" w:color="auto" w:fill="FEFFFF"/>
        <w:spacing w:line="360" w:lineRule="auto"/>
        <w:ind w:left="426"/>
        <w:jc w:val="both"/>
        <w:rPr>
          <w:rFonts w:ascii="Verdana" w:hAnsi="Verdana"/>
          <w:color w:val="000000" w:themeColor="text1"/>
          <w:sz w:val="20"/>
          <w:szCs w:val="20"/>
        </w:rPr>
      </w:pPr>
      <w:proofErr w:type="gramStart"/>
      <w:r w:rsidRPr="00A45056">
        <w:rPr>
          <w:rFonts w:ascii="Verdana" w:hAnsi="Verdana"/>
          <w:color w:val="000000" w:themeColor="text1"/>
          <w:sz w:val="20"/>
          <w:szCs w:val="20"/>
        </w:rPr>
        <w:t>il</w:t>
      </w:r>
      <w:proofErr w:type="gramEnd"/>
      <w:r w:rsidRPr="00A45056">
        <w:rPr>
          <w:rFonts w:ascii="Verdana" w:hAnsi="Verdana"/>
          <w:color w:val="000000" w:themeColor="text1"/>
          <w:sz w:val="20"/>
          <w:szCs w:val="20"/>
        </w:rPr>
        <w:t xml:space="preserve"> principio costituzionale di sussidiarietà orizzontale (art. 118, quarto comma </w:t>
      </w:r>
      <w:proofErr w:type="spellStart"/>
      <w:r w:rsidRPr="00A45056">
        <w:rPr>
          <w:rFonts w:ascii="Verdana" w:hAnsi="Verdana"/>
          <w:color w:val="000000" w:themeColor="text1"/>
          <w:sz w:val="20"/>
          <w:szCs w:val="20"/>
        </w:rPr>
        <w:t>Cost</w:t>
      </w:r>
      <w:proofErr w:type="spellEnd"/>
      <w:r w:rsidRPr="00A45056">
        <w:rPr>
          <w:rFonts w:ascii="Verdana" w:hAnsi="Verdana"/>
          <w:color w:val="000000" w:themeColor="text1"/>
          <w:sz w:val="20"/>
          <w:szCs w:val="20"/>
        </w:rPr>
        <w:t>.)</w:t>
      </w:r>
      <w:r w:rsidR="0088713A" w:rsidRPr="00A45056">
        <w:rPr>
          <w:rFonts w:ascii="Verdana" w:hAnsi="Verdana"/>
          <w:color w:val="000000" w:themeColor="text1"/>
          <w:sz w:val="20"/>
          <w:szCs w:val="20"/>
        </w:rPr>
        <w:t>.</w:t>
      </w:r>
    </w:p>
    <w:p w:rsidR="00F63A96" w:rsidRPr="00A45056" w:rsidRDefault="00F63A96"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Si soggiunga che, in concreto, anche a volere ammettere una interpretazione estensiva dell’art. 9, la separazione tra titolarità e gestione non può giungere ad un’applicazione abusiva dei diritti e delle liberà comunitarie (art. 54 Carta di Nizza) che anziché favorire la concorrenza, possono invero determinarne la compressione, favorendo fenomeni ingiustificati di concentrazione, senza una selezione meritocratica, quanto meno per le adesioni al Consorzio successive alla originaria gara per l’individuazione del socio privato nella società mista, di secondo livello,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(cfr. </w:t>
      </w:r>
      <w:r w:rsidRPr="00A45056">
        <w:rPr>
          <w:rFonts w:ascii="Verdana" w:hAnsi="Verdana"/>
          <w:i/>
          <w:color w:val="000000" w:themeColor="text1"/>
          <w:sz w:val="20"/>
          <w:szCs w:val="20"/>
        </w:rPr>
        <w:t>infra</w:t>
      </w:r>
      <w:r w:rsidRPr="00A45056">
        <w:rPr>
          <w:rFonts w:ascii="Verdana" w:hAnsi="Verdana"/>
          <w:color w:val="000000" w:themeColor="text1"/>
          <w:sz w:val="20"/>
          <w:szCs w:val="20"/>
        </w:rPr>
        <w:t xml:space="preserve">). </w:t>
      </w:r>
    </w:p>
    <w:p w:rsidR="00F63A96" w:rsidRPr="00A45056" w:rsidRDefault="005910B4" w:rsidP="00F63A96">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Né tantomeno si può ritenere rispettato il dettato </w:t>
      </w:r>
      <w:r w:rsidR="00E228F8" w:rsidRPr="00A45056">
        <w:rPr>
          <w:rFonts w:ascii="Verdana" w:hAnsi="Verdana"/>
          <w:color w:val="000000" w:themeColor="text1"/>
          <w:sz w:val="20"/>
          <w:szCs w:val="20"/>
        </w:rPr>
        <w:t>normativo</w:t>
      </w:r>
      <w:r w:rsidRPr="00A45056">
        <w:rPr>
          <w:rFonts w:ascii="Verdana" w:hAnsi="Verdana"/>
          <w:color w:val="000000" w:themeColor="text1"/>
          <w:sz w:val="20"/>
          <w:szCs w:val="20"/>
        </w:rPr>
        <w:t xml:space="preserve"> del</w:t>
      </w:r>
      <w:r w:rsidR="00E228F8" w:rsidRPr="00A45056">
        <w:rPr>
          <w:rFonts w:ascii="Verdana" w:hAnsi="Verdana"/>
          <w:color w:val="000000" w:themeColor="text1"/>
          <w:sz w:val="20"/>
          <w:szCs w:val="20"/>
        </w:rPr>
        <w:t>l</w:t>
      </w:r>
      <w:r w:rsidRPr="00A45056">
        <w:rPr>
          <w:rFonts w:ascii="Verdana" w:hAnsi="Verdana"/>
          <w:color w:val="000000" w:themeColor="text1"/>
          <w:sz w:val="20"/>
          <w:szCs w:val="20"/>
        </w:rPr>
        <w:t xml:space="preserve">’art. 9 della Leggi Mariotti considerando che in realtà i comuni si limitano a conferire le licenze </w:t>
      </w:r>
      <w:proofErr w:type="spellStart"/>
      <w:r w:rsidRPr="00A45056">
        <w:rPr>
          <w:rFonts w:ascii="Verdana" w:hAnsi="Verdana"/>
          <w:color w:val="000000" w:themeColor="text1"/>
          <w:sz w:val="20"/>
          <w:szCs w:val="20"/>
        </w:rPr>
        <w:t>prelazionate</w:t>
      </w:r>
      <w:proofErr w:type="spellEnd"/>
      <w:r w:rsidRPr="00A45056">
        <w:rPr>
          <w:rFonts w:ascii="Verdana" w:hAnsi="Verdana"/>
          <w:color w:val="000000" w:themeColor="text1"/>
          <w:sz w:val="20"/>
          <w:szCs w:val="20"/>
        </w:rPr>
        <w:t xml:space="preserve"> e a gestirle a mezzo di un consorzio (previsto nell’elenco</w:t>
      </w:r>
      <w:r w:rsidR="00BF1B12" w:rsidRPr="00A45056">
        <w:rPr>
          <w:rFonts w:ascii="Verdana" w:hAnsi="Verdana"/>
          <w:color w:val="000000" w:themeColor="text1"/>
          <w:sz w:val="20"/>
          <w:szCs w:val="20"/>
        </w:rPr>
        <w:t xml:space="preserve"> del prefato art. 9), salvo poi </w:t>
      </w:r>
      <w:r w:rsidR="001F189D">
        <w:rPr>
          <w:rFonts w:ascii="Verdana" w:hAnsi="Verdana"/>
          <w:color w:val="000000" w:themeColor="text1"/>
          <w:sz w:val="20"/>
          <w:szCs w:val="20"/>
        </w:rPr>
        <w:t>e</w:t>
      </w:r>
      <w:r w:rsidR="00BF1B12" w:rsidRPr="00A45056">
        <w:rPr>
          <w:rFonts w:ascii="Verdana" w:hAnsi="Verdana"/>
          <w:color w:val="000000" w:themeColor="text1"/>
          <w:sz w:val="20"/>
          <w:szCs w:val="20"/>
        </w:rPr>
        <w:t xml:space="preserve">sternalizzare la gestione con la descritta società mista </w:t>
      </w:r>
      <w:r w:rsidR="003B4079">
        <w:rPr>
          <w:rFonts w:ascii="Verdana" w:hAnsi="Verdana"/>
          <w:color w:val="000000" w:themeColor="text1"/>
          <w:sz w:val="20"/>
          <w:szCs w:val="20"/>
        </w:rPr>
        <w:t>INCOFARMA</w:t>
      </w:r>
      <w:r w:rsidR="00BF1B12" w:rsidRPr="00A45056">
        <w:rPr>
          <w:rFonts w:ascii="Verdana" w:hAnsi="Verdana"/>
          <w:color w:val="000000" w:themeColor="text1"/>
          <w:sz w:val="20"/>
          <w:szCs w:val="20"/>
        </w:rPr>
        <w:t>.</w:t>
      </w:r>
      <w:r w:rsidRPr="00A45056">
        <w:rPr>
          <w:rFonts w:ascii="Verdana" w:hAnsi="Verdana"/>
          <w:color w:val="000000" w:themeColor="text1"/>
          <w:sz w:val="20"/>
          <w:szCs w:val="20"/>
        </w:rPr>
        <w:t xml:space="preserve"> </w:t>
      </w:r>
    </w:p>
    <w:p w:rsidR="00510C82" w:rsidRPr="00A45056" w:rsidRDefault="00510C82" w:rsidP="00510C8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color w:val="000000" w:themeColor="text1"/>
          <w:sz w:val="20"/>
          <w:szCs w:val="20"/>
        </w:rPr>
        <w:t>5.1.</w:t>
      </w:r>
      <w:r w:rsidR="00EA1AE1" w:rsidRPr="00A45056">
        <w:rPr>
          <w:rFonts w:ascii="Verdana" w:hAnsi="Verdana"/>
          <w:b/>
          <w:color w:val="000000" w:themeColor="text1"/>
          <w:sz w:val="20"/>
          <w:szCs w:val="20"/>
        </w:rPr>
        <w:t>3</w:t>
      </w:r>
      <w:r w:rsidRPr="00A45056">
        <w:rPr>
          <w:rFonts w:ascii="Verdana" w:hAnsi="Verdana"/>
          <w:b/>
          <w:color w:val="000000" w:themeColor="text1"/>
          <w:sz w:val="20"/>
          <w:szCs w:val="20"/>
        </w:rPr>
        <w:t xml:space="preserve">. </w:t>
      </w:r>
      <w:r w:rsidRPr="00A45056">
        <w:rPr>
          <w:rFonts w:ascii="Verdana" w:hAnsi="Verdana"/>
          <w:color w:val="000000" w:themeColor="text1"/>
          <w:sz w:val="20"/>
          <w:szCs w:val="20"/>
        </w:rPr>
        <w:t>Infine, occor</w:t>
      </w:r>
      <w:r w:rsidR="0013538A" w:rsidRPr="00A45056">
        <w:rPr>
          <w:rFonts w:ascii="Verdana" w:hAnsi="Verdana"/>
          <w:color w:val="000000" w:themeColor="text1"/>
          <w:sz w:val="20"/>
          <w:szCs w:val="20"/>
        </w:rPr>
        <w:t>r</w:t>
      </w:r>
      <w:r w:rsidRPr="00A45056">
        <w:rPr>
          <w:rFonts w:ascii="Verdana" w:hAnsi="Verdana"/>
          <w:color w:val="000000" w:themeColor="text1"/>
          <w:sz w:val="20"/>
          <w:szCs w:val="20"/>
        </w:rPr>
        <w:t xml:space="preserve">e chiarie che sul merito della legittimità di tale </w:t>
      </w:r>
      <w:r w:rsidR="0013538A" w:rsidRPr="00A45056">
        <w:rPr>
          <w:rFonts w:ascii="Verdana" w:hAnsi="Verdana"/>
          <w:color w:val="000000" w:themeColor="text1"/>
          <w:sz w:val="20"/>
          <w:szCs w:val="20"/>
        </w:rPr>
        <w:t>costituzione non esiste, allo stato attuale</w:t>
      </w:r>
      <w:r w:rsidR="005B0C1E" w:rsidRPr="00A45056">
        <w:rPr>
          <w:rFonts w:ascii="Verdana" w:hAnsi="Verdana"/>
          <w:color w:val="000000" w:themeColor="text1"/>
          <w:sz w:val="20"/>
          <w:szCs w:val="20"/>
        </w:rPr>
        <w:t xml:space="preserve"> e sulla base di quanto agli atti</w:t>
      </w:r>
      <w:r w:rsidR="0013538A" w:rsidRPr="00A45056">
        <w:rPr>
          <w:rFonts w:ascii="Verdana" w:hAnsi="Verdana"/>
          <w:color w:val="000000" w:themeColor="text1"/>
          <w:sz w:val="20"/>
          <w:szCs w:val="20"/>
        </w:rPr>
        <w:t>, un rischio di contrasto tra giudicati.</w:t>
      </w:r>
    </w:p>
    <w:p w:rsidR="000E7B11" w:rsidRPr="00A45056" w:rsidRDefault="0013538A" w:rsidP="0013538A">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 proposito</w:t>
      </w:r>
      <w:r w:rsidR="000E7B11" w:rsidRPr="00A45056">
        <w:rPr>
          <w:rFonts w:ascii="Verdana" w:hAnsi="Verdana"/>
          <w:color w:val="000000" w:themeColor="text1"/>
          <w:sz w:val="20"/>
          <w:szCs w:val="20"/>
        </w:rPr>
        <w:t xml:space="preserve"> (cfr. §</w:t>
      </w:r>
      <w:r w:rsidR="005B0C1E" w:rsidRPr="00A45056">
        <w:rPr>
          <w:rFonts w:ascii="Verdana" w:hAnsi="Verdana"/>
          <w:color w:val="000000" w:themeColor="text1"/>
          <w:sz w:val="20"/>
          <w:szCs w:val="20"/>
        </w:rPr>
        <w:t xml:space="preserve"> 6 </w:t>
      </w:r>
      <w:r w:rsidR="005B0C1E" w:rsidRPr="00A45056">
        <w:rPr>
          <w:rFonts w:ascii="Verdana" w:hAnsi="Verdana"/>
          <w:i/>
          <w:color w:val="000000" w:themeColor="text1"/>
          <w:sz w:val="20"/>
          <w:szCs w:val="20"/>
        </w:rPr>
        <w:t>in fatto</w:t>
      </w:r>
      <w:r w:rsidR="000E7B11" w:rsidRPr="00A45056">
        <w:rPr>
          <w:rFonts w:ascii="Verdana" w:hAnsi="Verdana"/>
          <w:color w:val="000000" w:themeColor="text1"/>
          <w:sz w:val="20"/>
          <w:szCs w:val="20"/>
        </w:rPr>
        <w:t>)</w:t>
      </w:r>
      <w:r w:rsidRPr="00A45056">
        <w:rPr>
          <w:rFonts w:ascii="Verdana" w:hAnsi="Verdana"/>
          <w:color w:val="000000" w:themeColor="text1"/>
          <w:sz w:val="20"/>
          <w:szCs w:val="20"/>
        </w:rPr>
        <w:t>, si osserva che</w:t>
      </w:r>
      <w:r w:rsidR="001F189D">
        <w:rPr>
          <w:rFonts w:ascii="Verdana" w:hAnsi="Verdana"/>
          <w:color w:val="000000" w:themeColor="text1"/>
          <w:sz w:val="20"/>
          <w:szCs w:val="20"/>
        </w:rPr>
        <w:t>:</w:t>
      </w:r>
      <w:r w:rsidRPr="00A45056">
        <w:rPr>
          <w:rFonts w:ascii="Verdana" w:hAnsi="Verdana"/>
          <w:color w:val="000000" w:themeColor="text1"/>
          <w:sz w:val="20"/>
          <w:szCs w:val="20"/>
        </w:rPr>
        <w:t xml:space="preserve"> </w:t>
      </w:r>
    </w:p>
    <w:p w:rsidR="00CC45A1" w:rsidRPr="00A45056" w:rsidRDefault="000E7B11" w:rsidP="000E7B11">
      <w:pPr>
        <w:pStyle w:val="Paragrafoelenco"/>
        <w:numPr>
          <w:ilvl w:val="0"/>
          <w:numId w:val="41"/>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la</w:t>
      </w:r>
      <w:proofErr w:type="gramEnd"/>
      <w:r w:rsidRPr="00A45056">
        <w:rPr>
          <w:rFonts w:ascii="Verdana" w:hAnsi="Verdana"/>
          <w:color w:val="000000" w:themeColor="text1"/>
          <w:sz w:val="20"/>
          <w:szCs w:val="20"/>
        </w:rPr>
        <w:t xml:space="preserve"> controversia sulla </w:t>
      </w:r>
      <w:r w:rsidR="00CC45A1" w:rsidRPr="00A45056">
        <w:rPr>
          <w:rFonts w:ascii="Verdana" w:hAnsi="Verdana"/>
          <w:color w:val="000000" w:themeColor="text1"/>
          <w:sz w:val="20"/>
          <w:szCs w:val="20"/>
        </w:rPr>
        <w:t>legittimi</w:t>
      </w:r>
      <w:r w:rsidR="00A34FD8" w:rsidRPr="00A45056">
        <w:rPr>
          <w:rFonts w:ascii="Verdana" w:hAnsi="Verdana"/>
          <w:color w:val="000000" w:themeColor="text1"/>
          <w:sz w:val="20"/>
          <w:szCs w:val="20"/>
        </w:rPr>
        <w:t xml:space="preserve">tà della </w:t>
      </w:r>
      <w:r w:rsidR="00F70014" w:rsidRPr="00A45056">
        <w:rPr>
          <w:rFonts w:ascii="Verdana" w:hAnsi="Verdana"/>
          <w:color w:val="000000" w:themeColor="text1"/>
          <w:sz w:val="20"/>
          <w:szCs w:val="20"/>
        </w:rPr>
        <w:t>originaria</w:t>
      </w:r>
      <w:r w:rsidR="00A34FD8" w:rsidRPr="00A45056">
        <w:rPr>
          <w:rFonts w:ascii="Verdana" w:hAnsi="Verdana"/>
          <w:color w:val="000000" w:themeColor="text1"/>
          <w:sz w:val="20"/>
          <w:szCs w:val="20"/>
        </w:rPr>
        <w:t xml:space="preserve"> costituzione si è conclusa con una pronuncia di rito per tardività dei ricorsi</w:t>
      </w:r>
      <w:r w:rsidR="00F70014" w:rsidRPr="00A45056">
        <w:rPr>
          <w:rFonts w:ascii="Verdana" w:hAnsi="Verdana"/>
          <w:color w:val="000000" w:themeColor="text1"/>
          <w:sz w:val="20"/>
          <w:szCs w:val="20"/>
        </w:rPr>
        <w:t>;</w:t>
      </w:r>
    </w:p>
    <w:p w:rsidR="00F70014" w:rsidRPr="00A45056" w:rsidRDefault="0013538A" w:rsidP="002E28FA">
      <w:pPr>
        <w:pStyle w:val="Paragrafoelenco"/>
        <w:numPr>
          <w:ilvl w:val="0"/>
          <w:numId w:val="41"/>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 xml:space="preserve">il precedente citato in contraddittorio dal CISS e da altri comuni intervenuti (Consiglio di Stato, sez. V, sentenza n. 1288/2010) per affermare l’esistenza di una “cosa </w:t>
      </w:r>
      <w:r w:rsidRPr="00A45056">
        <w:rPr>
          <w:rFonts w:ascii="Verdana" w:hAnsi="Verdana"/>
          <w:color w:val="000000" w:themeColor="text1"/>
          <w:sz w:val="20"/>
          <w:szCs w:val="20"/>
        </w:rPr>
        <w:lastRenderedPageBreak/>
        <w:t>giudicata” in termini favorevoli rispetto alla possibilità di costituzione di una siffatta società mista e di una successiva adesione di altri comuni (con conferimento automatico di ulteriori licenze), invero è inconferente, in quanto non conferma la validità dell’operazione economica, ma respinge (annullando senza rinvio una sentenza di merito emessa dal TAR Campania, Napoli n. 14697/2008) per motivi processuali il ricorso di</w:t>
      </w:r>
      <w:r w:rsidR="00F70014" w:rsidRPr="00A45056">
        <w:rPr>
          <w:rFonts w:ascii="Verdana" w:hAnsi="Verdana"/>
          <w:color w:val="000000" w:themeColor="text1"/>
          <w:sz w:val="20"/>
          <w:szCs w:val="20"/>
        </w:rPr>
        <w:t xml:space="preserve"> primo grado, in quanto tardivo. Infatti, i ricorrenti privati, sottolinea il Consiglio di stato, avrebbero dovuto rivolgere le loro doglianze non al decreto regionale di autorizzazione all’apertura di una sede farmaceutica, ma direttamente verso la deliberazione di adesione al CISS, che prevede in modo automatico il conferimento delle licenze </w:t>
      </w:r>
      <w:proofErr w:type="spellStart"/>
      <w:r w:rsidR="00F70014" w:rsidRPr="00A45056">
        <w:rPr>
          <w:rFonts w:ascii="Verdana" w:hAnsi="Verdana"/>
          <w:color w:val="000000" w:themeColor="text1"/>
          <w:sz w:val="20"/>
          <w:szCs w:val="20"/>
        </w:rPr>
        <w:t>prelazionate</w:t>
      </w:r>
      <w:proofErr w:type="spellEnd"/>
      <w:r w:rsidR="00F70014" w:rsidRPr="00A45056">
        <w:rPr>
          <w:rFonts w:ascii="Verdana" w:hAnsi="Verdana"/>
          <w:color w:val="000000" w:themeColor="text1"/>
          <w:sz w:val="20"/>
          <w:szCs w:val="20"/>
        </w:rPr>
        <w:t>; soggiunge altresì che «</w:t>
      </w:r>
      <w:r w:rsidR="00F70014" w:rsidRPr="00A45056">
        <w:rPr>
          <w:rFonts w:ascii="Verdana" w:hAnsi="Verdana"/>
          <w:i/>
          <w:color w:val="000000" w:themeColor="text1"/>
          <w:sz w:val="20"/>
          <w:szCs w:val="20"/>
        </w:rPr>
        <w:t>In tale contesto, l’autorizzazione regionale, impugnata in primo grado, si è limitata a verificare la presenza dei requisiti soggettivi per l’esercizio dell’attività, senza alcuna valutazione in ordine alla correttezza del modulo organizzativo</w:t>
      </w:r>
      <w:r w:rsidR="00F70014" w:rsidRPr="00A45056">
        <w:rPr>
          <w:rFonts w:ascii="Verdana" w:hAnsi="Verdana"/>
          <w:color w:val="000000" w:themeColor="text1"/>
          <w:sz w:val="20"/>
          <w:szCs w:val="20"/>
        </w:rPr>
        <w:t>»</w:t>
      </w:r>
      <w:r w:rsidR="002E28FA" w:rsidRPr="00A45056">
        <w:rPr>
          <w:rFonts w:ascii="Verdana" w:hAnsi="Verdana"/>
          <w:color w:val="000000" w:themeColor="text1"/>
          <w:sz w:val="20"/>
          <w:szCs w:val="20"/>
        </w:rPr>
        <w:t>. Sono state travolte, dunque, le considerazioni in merito svolte dal giudice delle prime cure.</w:t>
      </w:r>
    </w:p>
    <w:p w:rsidR="002E28FA" w:rsidRPr="00A45056" w:rsidRDefault="00F70014" w:rsidP="00497397">
      <w:pPr>
        <w:pStyle w:val="Paragrafoelenco"/>
        <w:numPr>
          <w:ilvl w:val="0"/>
          <w:numId w:val="41"/>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sono</w:t>
      </w:r>
      <w:proofErr w:type="gramEnd"/>
      <w:r w:rsidRPr="00A45056">
        <w:rPr>
          <w:rFonts w:ascii="Verdana" w:hAnsi="Verdana"/>
          <w:color w:val="000000" w:themeColor="text1"/>
          <w:sz w:val="20"/>
          <w:szCs w:val="20"/>
        </w:rPr>
        <w:t xml:space="preserve"> pendenti </w:t>
      </w:r>
      <w:r w:rsidR="002E28FA" w:rsidRPr="00A45056">
        <w:rPr>
          <w:rFonts w:ascii="Verdana" w:hAnsi="Verdana"/>
          <w:color w:val="000000" w:themeColor="text1"/>
          <w:sz w:val="20"/>
          <w:szCs w:val="20"/>
        </w:rPr>
        <w:t>in appello</w:t>
      </w:r>
      <w:r w:rsidRPr="00A45056">
        <w:rPr>
          <w:rFonts w:ascii="Verdana" w:hAnsi="Verdana"/>
          <w:color w:val="000000" w:themeColor="text1"/>
          <w:sz w:val="20"/>
          <w:szCs w:val="20"/>
        </w:rPr>
        <w:t xml:space="preserve"> </w:t>
      </w:r>
      <w:r w:rsidR="001F189D">
        <w:rPr>
          <w:rFonts w:ascii="Verdana" w:hAnsi="Verdana"/>
          <w:color w:val="000000" w:themeColor="text1"/>
          <w:sz w:val="20"/>
          <w:szCs w:val="20"/>
        </w:rPr>
        <w:t xml:space="preserve">i giudizi </w:t>
      </w:r>
      <w:r w:rsidRPr="00A45056">
        <w:rPr>
          <w:rFonts w:ascii="Verdana" w:hAnsi="Verdana"/>
          <w:color w:val="000000" w:themeColor="text1"/>
          <w:sz w:val="20"/>
          <w:szCs w:val="20"/>
        </w:rPr>
        <w:t xml:space="preserve">sulle controversie concernenti </w:t>
      </w:r>
      <w:r w:rsidR="002E28FA" w:rsidRPr="00A45056">
        <w:rPr>
          <w:rFonts w:ascii="Verdana" w:hAnsi="Verdana"/>
          <w:color w:val="000000" w:themeColor="text1"/>
          <w:sz w:val="20"/>
          <w:szCs w:val="20"/>
          <w:lang w:eastAsia="en-US"/>
        </w:rPr>
        <w:t>i</w:t>
      </w:r>
      <w:r w:rsidR="002E28FA" w:rsidRPr="00A45056">
        <w:rPr>
          <w:rFonts w:ascii="Verdana" w:hAnsi="Verdana"/>
          <w:color w:val="000000" w:themeColor="text1"/>
          <w:sz w:val="20"/>
          <w:szCs w:val="20"/>
        </w:rPr>
        <w:t>l rifiuto della Regione Campania al rilascio d</w:t>
      </w:r>
      <w:r w:rsidR="001F189D">
        <w:rPr>
          <w:rFonts w:ascii="Verdana" w:hAnsi="Verdana"/>
          <w:color w:val="000000" w:themeColor="text1"/>
          <w:sz w:val="20"/>
          <w:szCs w:val="20"/>
        </w:rPr>
        <w:t>ell</w:t>
      </w:r>
      <w:r w:rsidR="002E28FA" w:rsidRPr="00A45056">
        <w:rPr>
          <w:rFonts w:ascii="Verdana" w:hAnsi="Verdana"/>
          <w:color w:val="000000" w:themeColor="text1"/>
          <w:sz w:val="20"/>
          <w:szCs w:val="20"/>
        </w:rPr>
        <w:t>’autorizzazione all’apertura di nuove sed</w:t>
      </w:r>
      <w:r w:rsidR="003867B1" w:rsidRPr="00A45056">
        <w:rPr>
          <w:rFonts w:ascii="Verdana" w:hAnsi="Verdana"/>
          <w:color w:val="000000" w:themeColor="text1"/>
          <w:sz w:val="20"/>
          <w:szCs w:val="20"/>
        </w:rPr>
        <w:t>i</w:t>
      </w:r>
      <w:r w:rsidR="005227DF" w:rsidRPr="00A45056">
        <w:rPr>
          <w:rFonts w:ascii="Verdana" w:hAnsi="Verdana"/>
          <w:color w:val="000000" w:themeColor="text1"/>
          <w:sz w:val="20"/>
          <w:szCs w:val="20"/>
        </w:rPr>
        <w:t xml:space="preserve">, sulla </w:t>
      </w:r>
      <w:r w:rsidR="00497397" w:rsidRPr="00A45056">
        <w:rPr>
          <w:rFonts w:ascii="Verdana" w:hAnsi="Verdana"/>
          <w:color w:val="000000" w:themeColor="text1"/>
          <w:sz w:val="20"/>
          <w:szCs w:val="20"/>
        </w:rPr>
        <w:t xml:space="preserve">legittimità del recesso dal Consorzio di alcuni soci, sulla </w:t>
      </w:r>
      <w:r w:rsidR="002E28FA" w:rsidRPr="00A45056">
        <w:rPr>
          <w:rFonts w:ascii="Verdana" w:hAnsi="Verdana"/>
          <w:color w:val="000000" w:themeColor="text1"/>
          <w:sz w:val="20"/>
          <w:szCs w:val="20"/>
        </w:rPr>
        <w:t xml:space="preserve">decadenza da alcune prelazioni </w:t>
      </w:r>
      <w:r w:rsidR="00497397" w:rsidRPr="00A45056">
        <w:rPr>
          <w:rFonts w:ascii="Verdana" w:hAnsi="Verdana"/>
          <w:color w:val="000000" w:themeColor="text1"/>
          <w:sz w:val="20"/>
          <w:szCs w:val="20"/>
        </w:rPr>
        <w:t>eserciate da comuni aderenti.</w:t>
      </w:r>
    </w:p>
    <w:p w:rsidR="00497397" w:rsidRPr="00A45056" w:rsidRDefault="00497397" w:rsidP="00497397">
      <w:pPr>
        <w:shd w:val="clear" w:color="auto" w:fill="FEFFFF"/>
        <w:spacing w:line="360" w:lineRule="auto"/>
        <w:ind w:firstLine="354"/>
        <w:jc w:val="both"/>
        <w:rPr>
          <w:rFonts w:ascii="Verdana" w:hAnsi="Verdana"/>
          <w:b/>
          <w:color w:val="000000" w:themeColor="text1"/>
          <w:sz w:val="20"/>
          <w:szCs w:val="20"/>
        </w:rPr>
      </w:pPr>
      <w:r w:rsidRPr="00A45056">
        <w:rPr>
          <w:rFonts w:ascii="Verdana" w:hAnsi="Verdana"/>
          <w:b/>
          <w:color w:val="000000" w:themeColor="text1"/>
          <w:sz w:val="20"/>
          <w:szCs w:val="20"/>
        </w:rPr>
        <w:t>5.1.4</w:t>
      </w:r>
      <w:r w:rsidR="002E28FA" w:rsidRPr="00A45056">
        <w:rPr>
          <w:rFonts w:ascii="Verdana" w:hAnsi="Verdana"/>
          <w:b/>
          <w:color w:val="000000" w:themeColor="text1"/>
          <w:sz w:val="20"/>
          <w:szCs w:val="20"/>
        </w:rPr>
        <w:t>.</w:t>
      </w:r>
      <w:r w:rsidR="002E28FA"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In </w:t>
      </w:r>
      <w:r w:rsidR="005B0C1E" w:rsidRPr="00A45056">
        <w:rPr>
          <w:rFonts w:ascii="Verdana" w:hAnsi="Verdana"/>
          <w:color w:val="000000" w:themeColor="text1"/>
          <w:sz w:val="20"/>
          <w:szCs w:val="20"/>
        </w:rPr>
        <w:t>definitiva</w:t>
      </w:r>
      <w:r w:rsidRPr="00A45056">
        <w:rPr>
          <w:rFonts w:ascii="Verdana" w:hAnsi="Verdana"/>
          <w:color w:val="000000" w:themeColor="text1"/>
          <w:sz w:val="20"/>
          <w:szCs w:val="20"/>
        </w:rPr>
        <w:t xml:space="preserve">, la Sezione accerta l’illegittimità </w:t>
      </w:r>
      <w:r w:rsidR="005B0C1E" w:rsidRPr="00A45056">
        <w:rPr>
          <w:rFonts w:ascii="Verdana" w:hAnsi="Verdana"/>
          <w:color w:val="000000" w:themeColor="text1"/>
          <w:sz w:val="20"/>
          <w:szCs w:val="20"/>
        </w:rPr>
        <w:t>originaria</w:t>
      </w:r>
      <w:r w:rsidRPr="00A45056">
        <w:rPr>
          <w:rFonts w:ascii="Verdana" w:hAnsi="Verdana"/>
          <w:color w:val="000000" w:themeColor="text1"/>
          <w:sz w:val="20"/>
          <w:szCs w:val="20"/>
        </w:rPr>
        <w:t xml:space="preserve"> della </w:t>
      </w:r>
      <w:r w:rsidR="005B0C1E" w:rsidRPr="00A45056">
        <w:rPr>
          <w:rFonts w:ascii="Verdana" w:hAnsi="Verdana"/>
          <w:color w:val="000000" w:themeColor="text1"/>
          <w:sz w:val="20"/>
          <w:szCs w:val="20"/>
        </w:rPr>
        <w:t>costituzione</w:t>
      </w:r>
      <w:r w:rsidRPr="00A45056">
        <w:rPr>
          <w:rFonts w:ascii="Verdana" w:hAnsi="Verdana"/>
          <w:color w:val="000000" w:themeColor="text1"/>
          <w:sz w:val="20"/>
          <w:szCs w:val="20"/>
        </w:rPr>
        <w:t xml:space="preserve"> della società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a mezzo del CISS eppur tuttavia, atteso gli obblighi di conformazione che dalle </w:t>
      </w:r>
      <w:r w:rsidR="005B0C1E" w:rsidRPr="00A45056">
        <w:rPr>
          <w:rFonts w:ascii="Verdana" w:hAnsi="Verdana"/>
          <w:color w:val="000000" w:themeColor="text1"/>
          <w:sz w:val="20"/>
          <w:szCs w:val="20"/>
        </w:rPr>
        <w:t>pronunce</w:t>
      </w:r>
      <w:r w:rsidRPr="00A45056">
        <w:rPr>
          <w:rFonts w:ascii="Verdana" w:hAnsi="Verdana"/>
          <w:color w:val="000000" w:themeColor="text1"/>
          <w:sz w:val="20"/>
          <w:szCs w:val="20"/>
        </w:rPr>
        <w:t xml:space="preserve"> di controllo </w:t>
      </w:r>
      <w:r w:rsidR="005B0C1E" w:rsidRPr="00A45056">
        <w:rPr>
          <w:rFonts w:ascii="Verdana" w:hAnsi="Verdana"/>
          <w:color w:val="000000" w:themeColor="text1"/>
          <w:sz w:val="20"/>
          <w:szCs w:val="20"/>
        </w:rPr>
        <w:t>derivano per gli enti controllati, ritiene di specificare quanto segue.</w:t>
      </w:r>
    </w:p>
    <w:p w:rsidR="001F71F3" w:rsidRPr="00A45056" w:rsidRDefault="000D10B5" w:rsidP="00510C8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Nel nostro ordinamento vige la presunzione di legittimità degli atti amministrativi, la quale </w:t>
      </w:r>
      <w:r w:rsidR="00AF7D75" w:rsidRPr="00A45056">
        <w:rPr>
          <w:rFonts w:ascii="Verdana" w:hAnsi="Verdana"/>
          <w:color w:val="000000" w:themeColor="text1"/>
          <w:sz w:val="20"/>
          <w:szCs w:val="20"/>
        </w:rPr>
        <w:t>può</w:t>
      </w:r>
      <w:r w:rsidRPr="00A45056">
        <w:rPr>
          <w:rFonts w:ascii="Verdana" w:hAnsi="Verdana"/>
          <w:color w:val="000000" w:themeColor="text1"/>
          <w:sz w:val="20"/>
          <w:szCs w:val="20"/>
        </w:rPr>
        <w:t xml:space="preserve"> essere travolta </w:t>
      </w:r>
      <w:r w:rsidR="00AF7D75" w:rsidRPr="00A45056">
        <w:rPr>
          <w:rFonts w:ascii="Verdana" w:hAnsi="Verdana"/>
          <w:color w:val="000000" w:themeColor="text1"/>
          <w:sz w:val="20"/>
          <w:szCs w:val="20"/>
        </w:rPr>
        <w:t xml:space="preserve">solo con accertamenti costitutivi da parte degli organi </w:t>
      </w:r>
      <w:r w:rsidRPr="00A45056">
        <w:rPr>
          <w:rFonts w:ascii="Verdana" w:hAnsi="Verdana"/>
          <w:color w:val="000000" w:themeColor="text1"/>
          <w:sz w:val="20"/>
          <w:szCs w:val="20"/>
        </w:rPr>
        <w:t xml:space="preserve">giurisdizionali </w:t>
      </w:r>
      <w:r w:rsidR="00AF7D75" w:rsidRPr="00A45056">
        <w:rPr>
          <w:rFonts w:ascii="Verdana" w:hAnsi="Verdana"/>
          <w:color w:val="000000" w:themeColor="text1"/>
          <w:sz w:val="20"/>
          <w:szCs w:val="20"/>
        </w:rPr>
        <w:t xml:space="preserve">aditi </w:t>
      </w:r>
      <w:r w:rsidR="00A14610" w:rsidRPr="00A45056">
        <w:rPr>
          <w:rFonts w:ascii="Verdana" w:hAnsi="Verdana"/>
          <w:color w:val="000000" w:themeColor="text1"/>
          <w:sz w:val="20"/>
          <w:szCs w:val="20"/>
        </w:rPr>
        <w:t>coi mezzi</w:t>
      </w:r>
      <w:r w:rsidR="00916A7B" w:rsidRPr="00A45056">
        <w:rPr>
          <w:rFonts w:ascii="Verdana" w:hAnsi="Verdana"/>
          <w:color w:val="000000" w:themeColor="text1"/>
          <w:sz w:val="20"/>
          <w:szCs w:val="20"/>
        </w:rPr>
        <w:t>, nei limiti</w:t>
      </w:r>
      <w:r w:rsidR="00A14610" w:rsidRPr="00A45056">
        <w:rPr>
          <w:rFonts w:ascii="Verdana" w:hAnsi="Verdana"/>
          <w:color w:val="000000" w:themeColor="text1"/>
          <w:sz w:val="20"/>
          <w:szCs w:val="20"/>
        </w:rPr>
        <w:t xml:space="preserve"> e </w:t>
      </w:r>
      <w:r w:rsidR="00AF7D75" w:rsidRPr="00A45056">
        <w:rPr>
          <w:rFonts w:ascii="Verdana" w:hAnsi="Verdana"/>
          <w:color w:val="000000" w:themeColor="text1"/>
          <w:sz w:val="20"/>
          <w:szCs w:val="20"/>
        </w:rPr>
        <w:t xml:space="preserve">nei termini </w:t>
      </w:r>
      <w:proofErr w:type="spellStart"/>
      <w:r w:rsidR="00AF7D75" w:rsidRPr="00A45056">
        <w:rPr>
          <w:rFonts w:ascii="Verdana" w:hAnsi="Verdana"/>
          <w:color w:val="000000" w:themeColor="text1"/>
          <w:sz w:val="20"/>
          <w:szCs w:val="20"/>
        </w:rPr>
        <w:t>decadenziali</w:t>
      </w:r>
      <w:proofErr w:type="spellEnd"/>
      <w:r w:rsidR="00AF7D75" w:rsidRPr="00A45056">
        <w:rPr>
          <w:rFonts w:ascii="Verdana" w:hAnsi="Verdana"/>
          <w:color w:val="000000" w:themeColor="text1"/>
          <w:sz w:val="20"/>
          <w:szCs w:val="20"/>
        </w:rPr>
        <w:t xml:space="preserve"> di legge</w:t>
      </w:r>
      <w:r w:rsidR="00A14610" w:rsidRPr="00A45056">
        <w:rPr>
          <w:rFonts w:ascii="Verdana" w:hAnsi="Verdana"/>
          <w:color w:val="000000" w:themeColor="text1"/>
          <w:sz w:val="20"/>
          <w:szCs w:val="20"/>
        </w:rPr>
        <w:t xml:space="preserve"> (cfr. art</w:t>
      </w:r>
      <w:r w:rsidR="00250A92" w:rsidRPr="00A45056">
        <w:rPr>
          <w:rFonts w:ascii="Verdana" w:hAnsi="Verdana"/>
          <w:color w:val="000000" w:themeColor="text1"/>
          <w:sz w:val="20"/>
          <w:szCs w:val="20"/>
        </w:rPr>
        <w:t>t</w:t>
      </w:r>
      <w:r w:rsidR="00A14610" w:rsidRPr="00A45056">
        <w:rPr>
          <w:rFonts w:ascii="Verdana" w:hAnsi="Verdana"/>
          <w:color w:val="000000" w:themeColor="text1"/>
          <w:sz w:val="20"/>
          <w:szCs w:val="20"/>
        </w:rPr>
        <w:t xml:space="preserve">. </w:t>
      </w:r>
      <w:r w:rsidR="00250A92" w:rsidRPr="00A45056">
        <w:rPr>
          <w:rFonts w:ascii="Verdana" w:hAnsi="Verdana"/>
          <w:color w:val="000000" w:themeColor="text1"/>
          <w:sz w:val="20"/>
          <w:szCs w:val="20"/>
        </w:rPr>
        <w:t xml:space="preserve">29 e </w:t>
      </w:r>
      <w:r w:rsidR="00A14610" w:rsidRPr="00A45056">
        <w:rPr>
          <w:rFonts w:ascii="Verdana" w:hAnsi="Verdana"/>
          <w:color w:val="000000" w:themeColor="text1"/>
          <w:sz w:val="20"/>
          <w:szCs w:val="20"/>
        </w:rPr>
        <w:t xml:space="preserve">30 </w:t>
      </w:r>
      <w:proofErr w:type="spellStart"/>
      <w:r w:rsidR="00A14610" w:rsidRPr="00A45056">
        <w:rPr>
          <w:rFonts w:ascii="Verdana" w:hAnsi="Verdana"/>
          <w:color w:val="000000" w:themeColor="text1"/>
          <w:sz w:val="20"/>
          <w:szCs w:val="20"/>
        </w:rPr>
        <w:t>c.p</w:t>
      </w:r>
      <w:r w:rsidR="00250A92" w:rsidRPr="00A45056">
        <w:rPr>
          <w:rFonts w:ascii="Verdana" w:hAnsi="Verdana"/>
          <w:color w:val="000000" w:themeColor="text1"/>
          <w:sz w:val="20"/>
          <w:szCs w:val="20"/>
        </w:rPr>
        <w:t>.</w:t>
      </w:r>
      <w:r w:rsidR="00A14610" w:rsidRPr="00A45056">
        <w:rPr>
          <w:rFonts w:ascii="Verdana" w:hAnsi="Verdana"/>
          <w:color w:val="000000" w:themeColor="text1"/>
          <w:sz w:val="20"/>
          <w:szCs w:val="20"/>
        </w:rPr>
        <w:t>a</w:t>
      </w:r>
      <w:proofErr w:type="spellEnd"/>
      <w:r w:rsidR="00A14610" w:rsidRPr="00A45056">
        <w:rPr>
          <w:rFonts w:ascii="Verdana" w:hAnsi="Verdana"/>
          <w:color w:val="000000" w:themeColor="text1"/>
          <w:sz w:val="20"/>
          <w:szCs w:val="20"/>
        </w:rPr>
        <w:t>.)</w:t>
      </w:r>
      <w:r w:rsidR="00AF7D75" w:rsidRPr="00A45056">
        <w:rPr>
          <w:rFonts w:ascii="Verdana" w:hAnsi="Verdana"/>
          <w:color w:val="000000" w:themeColor="text1"/>
          <w:sz w:val="20"/>
          <w:szCs w:val="20"/>
        </w:rPr>
        <w:t xml:space="preserve">, in sede </w:t>
      </w:r>
      <w:r w:rsidR="00A14610" w:rsidRPr="00A45056">
        <w:rPr>
          <w:rFonts w:ascii="Verdana" w:hAnsi="Verdana"/>
          <w:color w:val="000000" w:themeColor="text1"/>
          <w:sz w:val="20"/>
          <w:szCs w:val="20"/>
        </w:rPr>
        <w:t xml:space="preserve">contenziosa, ovvero con un atto della </w:t>
      </w:r>
      <w:r w:rsidR="001F71F3" w:rsidRPr="00A45056">
        <w:rPr>
          <w:rFonts w:ascii="Verdana" w:hAnsi="Verdana"/>
          <w:color w:val="000000" w:themeColor="text1"/>
          <w:sz w:val="20"/>
          <w:szCs w:val="20"/>
        </w:rPr>
        <w:t>pubblica</w:t>
      </w:r>
      <w:r w:rsidR="00A14610" w:rsidRPr="00A45056">
        <w:rPr>
          <w:rFonts w:ascii="Verdana" w:hAnsi="Verdana"/>
          <w:color w:val="000000" w:themeColor="text1"/>
          <w:sz w:val="20"/>
          <w:szCs w:val="20"/>
        </w:rPr>
        <w:t xml:space="preserve"> amministrazione medesima in sede di autotutela</w:t>
      </w:r>
      <w:r w:rsidR="001F71F3" w:rsidRPr="00A45056">
        <w:rPr>
          <w:rFonts w:ascii="Verdana" w:hAnsi="Verdana"/>
          <w:color w:val="000000" w:themeColor="text1"/>
          <w:sz w:val="20"/>
          <w:szCs w:val="20"/>
        </w:rPr>
        <w:t>.</w:t>
      </w:r>
    </w:p>
    <w:p w:rsidR="002B6284" w:rsidRPr="00A45056" w:rsidRDefault="002B6284" w:rsidP="00510C8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La giurisdizione di controllo, in sede successiva, svolge nel sistema la funzione di rendere evidenti illegittimità, non </w:t>
      </w:r>
      <w:r w:rsidR="001F189D" w:rsidRPr="00A45056">
        <w:rPr>
          <w:rFonts w:ascii="Verdana" w:hAnsi="Verdana"/>
          <w:color w:val="000000" w:themeColor="text1"/>
          <w:sz w:val="20"/>
          <w:szCs w:val="20"/>
        </w:rPr>
        <w:t>legat</w:t>
      </w:r>
      <w:r w:rsidR="001F189D">
        <w:rPr>
          <w:rFonts w:ascii="Verdana" w:hAnsi="Verdana"/>
          <w:color w:val="000000" w:themeColor="text1"/>
          <w:sz w:val="20"/>
          <w:szCs w:val="20"/>
        </w:rPr>
        <w:t>e</w:t>
      </w:r>
      <w:r w:rsidR="001F189D"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alla visione e agli </w:t>
      </w:r>
      <w:r w:rsidR="00776AD3" w:rsidRPr="00A45056">
        <w:rPr>
          <w:rFonts w:ascii="Verdana" w:hAnsi="Verdana"/>
          <w:color w:val="000000" w:themeColor="text1"/>
          <w:sz w:val="20"/>
          <w:szCs w:val="20"/>
        </w:rPr>
        <w:t>interessi</w:t>
      </w:r>
      <w:r w:rsidRPr="00A45056">
        <w:rPr>
          <w:rFonts w:ascii="Verdana" w:hAnsi="Verdana"/>
          <w:color w:val="000000" w:themeColor="text1"/>
          <w:sz w:val="20"/>
          <w:szCs w:val="20"/>
        </w:rPr>
        <w:t xml:space="preserve"> soggettivi di “parti”</w:t>
      </w:r>
      <w:r w:rsidR="00776AD3" w:rsidRPr="00A45056">
        <w:rPr>
          <w:rFonts w:ascii="Verdana" w:hAnsi="Verdana"/>
          <w:color w:val="000000" w:themeColor="text1"/>
          <w:sz w:val="20"/>
          <w:szCs w:val="20"/>
        </w:rPr>
        <w:t xml:space="preserve">, ma </w:t>
      </w:r>
      <w:r w:rsidR="001F189D" w:rsidRPr="00A45056">
        <w:rPr>
          <w:rFonts w:ascii="Verdana" w:hAnsi="Verdana"/>
          <w:color w:val="000000" w:themeColor="text1"/>
          <w:sz w:val="20"/>
          <w:szCs w:val="20"/>
        </w:rPr>
        <w:t>collegat</w:t>
      </w:r>
      <w:r w:rsidR="001F189D">
        <w:rPr>
          <w:rFonts w:ascii="Verdana" w:hAnsi="Verdana"/>
          <w:color w:val="000000" w:themeColor="text1"/>
          <w:sz w:val="20"/>
          <w:szCs w:val="20"/>
        </w:rPr>
        <w:t>e</w:t>
      </w:r>
      <w:r w:rsidR="001F189D" w:rsidRPr="00A45056">
        <w:rPr>
          <w:rFonts w:ascii="Verdana" w:hAnsi="Verdana"/>
          <w:color w:val="000000" w:themeColor="text1"/>
          <w:sz w:val="20"/>
          <w:szCs w:val="20"/>
        </w:rPr>
        <w:t xml:space="preserve"> </w:t>
      </w:r>
      <w:r w:rsidR="00776AD3" w:rsidRPr="00A45056">
        <w:rPr>
          <w:rFonts w:ascii="Verdana" w:hAnsi="Verdana"/>
          <w:color w:val="000000" w:themeColor="text1"/>
          <w:sz w:val="20"/>
          <w:szCs w:val="20"/>
        </w:rPr>
        <w:t xml:space="preserve">ad interessi diffusi quali la tutela del buon andamento e </w:t>
      </w:r>
      <w:r w:rsidR="001F189D" w:rsidRPr="00A45056">
        <w:rPr>
          <w:rFonts w:ascii="Verdana" w:hAnsi="Verdana"/>
          <w:color w:val="000000" w:themeColor="text1"/>
          <w:sz w:val="20"/>
          <w:szCs w:val="20"/>
        </w:rPr>
        <w:t xml:space="preserve">della </w:t>
      </w:r>
      <w:r w:rsidR="00776AD3" w:rsidRPr="00A45056">
        <w:rPr>
          <w:rFonts w:ascii="Verdana" w:hAnsi="Verdana"/>
          <w:color w:val="000000" w:themeColor="text1"/>
          <w:sz w:val="20"/>
          <w:szCs w:val="20"/>
        </w:rPr>
        <w:t xml:space="preserve">imparzialità della pubblica amministrazione, in particolare, attraverso il rispetto delle norme sulla contabilità pubblica di cui </w:t>
      </w:r>
      <w:r w:rsidR="001F189D">
        <w:rPr>
          <w:rFonts w:ascii="Verdana" w:hAnsi="Verdana"/>
          <w:color w:val="000000" w:themeColor="text1"/>
          <w:sz w:val="20"/>
          <w:szCs w:val="20"/>
        </w:rPr>
        <w:t>quelle</w:t>
      </w:r>
      <w:r w:rsidR="00776AD3" w:rsidRPr="00A45056">
        <w:rPr>
          <w:rFonts w:ascii="Verdana" w:hAnsi="Verdana"/>
          <w:color w:val="000000" w:themeColor="text1"/>
          <w:sz w:val="20"/>
          <w:szCs w:val="20"/>
        </w:rPr>
        <w:t xml:space="preserve"> per la corretta assegnazione delle commesse costituiscono parte integrante. </w:t>
      </w:r>
    </w:p>
    <w:p w:rsidR="00707B99" w:rsidRPr="00A45056" w:rsidRDefault="00707B99" w:rsidP="00707B99">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 caso di esito negativo del controllo, in assenza di specifiche conseguenze di legge, relativamente alle irregolarità normative rilevate, resta fermo il dovere di riesame delle criticità evidenziate dalla Corte dei Conti da parte dell’Amministrazione al fine del ripristino della regolarità amministrativa e contabile, come esplicitamente affermato dalla Corte Costituzionale (</w:t>
      </w:r>
      <w:proofErr w:type="spellStart"/>
      <w:r w:rsidRPr="00A45056">
        <w:rPr>
          <w:rFonts w:ascii="Verdana" w:hAnsi="Verdana"/>
          <w:color w:val="000000" w:themeColor="text1"/>
          <w:sz w:val="20"/>
          <w:szCs w:val="20"/>
        </w:rPr>
        <w:t>sent</w:t>
      </w:r>
      <w:proofErr w:type="spellEnd"/>
      <w:r w:rsidRPr="00A45056">
        <w:rPr>
          <w:rFonts w:ascii="Verdana" w:hAnsi="Verdana"/>
          <w:color w:val="000000" w:themeColor="text1"/>
          <w:sz w:val="20"/>
          <w:szCs w:val="20"/>
        </w:rPr>
        <w:t>. n. 198/2012), con l’obbligo di porre in essere, in ossequio a costante approdo della giurisprudenza, un procedimento di secondo grado per rimuovere le ridette irregolarità (si ricade nella casistica di “autotutela doverosa” che, come noto, comprende «</w:t>
      </w:r>
      <w:r w:rsidRPr="00A45056">
        <w:rPr>
          <w:rFonts w:ascii="Verdana" w:hAnsi="Verdana"/>
          <w:i/>
          <w:color w:val="000000" w:themeColor="text1"/>
          <w:sz w:val="20"/>
          <w:szCs w:val="20"/>
        </w:rPr>
        <w:t xml:space="preserve">l'ipotesi di illegittimità dell'atto dichiarata da sentenza passata in giudicato del giudice ordinario, e </w:t>
      </w:r>
      <w:r w:rsidRPr="00A45056">
        <w:rPr>
          <w:rFonts w:ascii="Verdana" w:hAnsi="Verdana"/>
          <w:i/>
          <w:color w:val="000000" w:themeColor="text1"/>
          <w:sz w:val="20"/>
          <w:szCs w:val="20"/>
          <w:u w:val="single"/>
        </w:rPr>
        <w:t>quella di illegittimità dell'atto dichiarata da un'autorità di controllo priva del potere di annullamento</w:t>
      </w:r>
      <w:r w:rsidRPr="00A45056">
        <w:rPr>
          <w:rFonts w:ascii="Verdana" w:hAnsi="Verdana"/>
          <w:i/>
          <w:color w:val="000000" w:themeColor="text1"/>
          <w:sz w:val="20"/>
          <w:szCs w:val="20"/>
        </w:rPr>
        <w:t xml:space="preserve">. È, peraltro, </w:t>
      </w:r>
      <w:r w:rsidRPr="00A45056">
        <w:rPr>
          <w:rFonts w:ascii="Verdana" w:hAnsi="Verdana"/>
          <w:i/>
          <w:color w:val="000000" w:themeColor="text1"/>
          <w:sz w:val="20"/>
          <w:szCs w:val="20"/>
        </w:rPr>
        <w:lastRenderedPageBreak/>
        <w:t xml:space="preserve">pacifico in giurisprudenza che per gli atti che esplicano effetti giuridici ripetuti nel tempo il principio di legalità impone all'Amministrazione il loro adeguamento in ogni momento al quadro normativo di riferimento. In tali ipotesi l'interesse pubblico all'esercizio dell'autotutela è "in re </w:t>
      </w:r>
      <w:proofErr w:type="spellStart"/>
      <w:r w:rsidRPr="00A45056">
        <w:rPr>
          <w:rFonts w:ascii="Verdana" w:hAnsi="Verdana"/>
          <w:i/>
          <w:color w:val="000000" w:themeColor="text1"/>
          <w:sz w:val="20"/>
          <w:szCs w:val="20"/>
        </w:rPr>
        <w:t>ipsa</w:t>
      </w:r>
      <w:proofErr w:type="spellEnd"/>
      <w:r w:rsidRPr="00A45056">
        <w:rPr>
          <w:rFonts w:ascii="Verdana" w:hAnsi="Verdana"/>
          <w:i/>
          <w:color w:val="000000" w:themeColor="text1"/>
          <w:sz w:val="20"/>
          <w:szCs w:val="20"/>
        </w:rPr>
        <w:t xml:space="preserve">" e si identifica nella cessazione di ulteriori effetti "contra </w:t>
      </w:r>
      <w:proofErr w:type="spellStart"/>
      <w:r w:rsidRPr="00A45056">
        <w:rPr>
          <w:rFonts w:ascii="Verdana" w:hAnsi="Verdana"/>
          <w:i/>
          <w:color w:val="000000" w:themeColor="text1"/>
          <w:sz w:val="20"/>
          <w:szCs w:val="20"/>
        </w:rPr>
        <w:t>legem</w:t>
      </w:r>
      <w:proofErr w:type="spellEnd"/>
      <w:r w:rsidRPr="00A45056">
        <w:rPr>
          <w:rFonts w:ascii="Verdana" w:hAnsi="Verdana"/>
          <w:i/>
          <w:color w:val="000000" w:themeColor="text1"/>
          <w:sz w:val="20"/>
          <w:szCs w:val="20"/>
        </w:rPr>
        <w:t>" cfr. Consiglio di Stato VI, sentenza 17 gennaio 2008, n. 106</w:t>
      </w:r>
      <w:r w:rsidRPr="00A45056">
        <w:rPr>
          <w:rFonts w:ascii="Verdana" w:hAnsi="Verdana"/>
          <w:color w:val="000000" w:themeColor="text1"/>
          <w:sz w:val="20"/>
          <w:szCs w:val="20"/>
        </w:rPr>
        <w:t>» T.A.R. Campania, Napoli, Sez. IV, sentenza 3 aprile</w:t>
      </w:r>
      <w:r w:rsidRPr="00A45056" w:rsidDel="00AE029D">
        <w:rPr>
          <w:rFonts w:ascii="Verdana" w:hAnsi="Verdana"/>
          <w:color w:val="000000" w:themeColor="text1"/>
          <w:sz w:val="20"/>
          <w:szCs w:val="20"/>
        </w:rPr>
        <w:t xml:space="preserve"> </w:t>
      </w:r>
      <w:r w:rsidRPr="00A45056">
        <w:rPr>
          <w:rFonts w:ascii="Verdana" w:hAnsi="Verdana"/>
          <w:color w:val="000000" w:themeColor="text1"/>
          <w:sz w:val="20"/>
          <w:szCs w:val="20"/>
        </w:rPr>
        <w:t xml:space="preserve">2012, n. 1527). </w:t>
      </w:r>
    </w:p>
    <w:p w:rsidR="00707B99" w:rsidRPr="00A45056" w:rsidRDefault="00597470" w:rsidP="00510C8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Tuttavia, </w:t>
      </w:r>
      <w:r w:rsidR="00707B99" w:rsidRPr="00A45056">
        <w:rPr>
          <w:rFonts w:ascii="Verdana" w:hAnsi="Verdana"/>
          <w:color w:val="000000" w:themeColor="text1"/>
          <w:sz w:val="20"/>
          <w:szCs w:val="20"/>
        </w:rPr>
        <w:t xml:space="preserve">nel caso delle illegittimità </w:t>
      </w:r>
      <w:r w:rsidR="00AA7705" w:rsidRPr="00A45056">
        <w:rPr>
          <w:rFonts w:ascii="Verdana" w:hAnsi="Verdana"/>
          <w:color w:val="000000" w:themeColor="text1"/>
          <w:sz w:val="20"/>
          <w:szCs w:val="20"/>
        </w:rPr>
        <w:t>collegate a</w:t>
      </w:r>
      <w:r w:rsidR="00707B99" w:rsidRPr="00A45056">
        <w:rPr>
          <w:rFonts w:ascii="Verdana" w:hAnsi="Verdana"/>
          <w:color w:val="000000" w:themeColor="text1"/>
          <w:sz w:val="20"/>
          <w:szCs w:val="20"/>
        </w:rPr>
        <w:t xml:space="preserve"> procedure di aggiudicazione</w:t>
      </w:r>
      <w:r w:rsidR="00B10DBA">
        <w:rPr>
          <w:rFonts w:ascii="Verdana" w:hAnsi="Verdana"/>
          <w:color w:val="000000" w:themeColor="text1"/>
          <w:sz w:val="20"/>
          <w:szCs w:val="20"/>
        </w:rPr>
        <w:t>,</w:t>
      </w:r>
      <w:r w:rsidR="00707B99" w:rsidRPr="00A45056">
        <w:rPr>
          <w:rFonts w:ascii="Verdana" w:hAnsi="Verdana"/>
          <w:color w:val="000000" w:themeColor="text1"/>
          <w:sz w:val="20"/>
          <w:szCs w:val="20"/>
        </w:rPr>
        <w:t xml:space="preserve"> gli effetti dell’</w:t>
      </w:r>
      <w:r w:rsidR="001F75EA" w:rsidRPr="00A45056">
        <w:rPr>
          <w:rFonts w:ascii="Verdana" w:hAnsi="Verdana"/>
          <w:color w:val="000000" w:themeColor="text1"/>
          <w:sz w:val="20"/>
          <w:szCs w:val="20"/>
        </w:rPr>
        <w:t>autotutela</w:t>
      </w:r>
      <w:r w:rsidR="00707B99" w:rsidRPr="00A45056">
        <w:rPr>
          <w:rFonts w:ascii="Verdana" w:hAnsi="Verdana"/>
          <w:color w:val="000000" w:themeColor="text1"/>
          <w:sz w:val="20"/>
          <w:szCs w:val="20"/>
        </w:rPr>
        <w:t xml:space="preserve"> devono essere </w:t>
      </w:r>
      <w:r w:rsidR="001F75EA" w:rsidRPr="00A45056">
        <w:rPr>
          <w:rFonts w:ascii="Verdana" w:hAnsi="Verdana"/>
          <w:color w:val="000000" w:themeColor="text1"/>
          <w:sz w:val="20"/>
          <w:szCs w:val="20"/>
        </w:rPr>
        <w:t>necessariamente</w:t>
      </w:r>
      <w:r w:rsidR="00707B99" w:rsidRPr="00A45056">
        <w:rPr>
          <w:rFonts w:ascii="Verdana" w:hAnsi="Verdana"/>
          <w:color w:val="000000" w:themeColor="text1"/>
          <w:sz w:val="20"/>
          <w:szCs w:val="20"/>
        </w:rPr>
        <w:t xml:space="preserve"> </w:t>
      </w:r>
      <w:r w:rsidR="001F75EA" w:rsidRPr="00A45056">
        <w:rPr>
          <w:rFonts w:ascii="Verdana" w:hAnsi="Verdana"/>
          <w:color w:val="000000" w:themeColor="text1"/>
          <w:sz w:val="20"/>
          <w:szCs w:val="20"/>
        </w:rPr>
        <w:t>proporzionati</w:t>
      </w:r>
      <w:r w:rsidR="00707B99" w:rsidRPr="00A45056">
        <w:rPr>
          <w:rFonts w:ascii="Verdana" w:hAnsi="Verdana"/>
          <w:color w:val="000000" w:themeColor="text1"/>
          <w:sz w:val="20"/>
          <w:szCs w:val="20"/>
        </w:rPr>
        <w:t xml:space="preserve"> ad “esigenze imperative</w:t>
      </w:r>
      <w:r w:rsidR="001F75EA" w:rsidRPr="00A45056">
        <w:rPr>
          <w:rFonts w:ascii="Verdana" w:hAnsi="Verdana"/>
          <w:color w:val="000000" w:themeColor="text1"/>
          <w:sz w:val="20"/>
          <w:szCs w:val="20"/>
        </w:rPr>
        <w:t>”</w:t>
      </w:r>
      <w:r w:rsidR="00707B99" w:rsidRPr="00A45056">
        <w:rPr>
          <w:rFonts w:ascii="Verdana" w:hAnsi="Verdana"/>
          <w:color w:val="000000" w:themeColor="text1"/>
          <w:sz w:val="20"/>
          <w:szCs w:val="20"/>
        </w:rPr>
        <w:t xml:space="preserve"> che possono portare ad una modifica di atti e comportamenti della pubblica amministrazione, con effetto limitato nel</w:t>
      </w:r>
      <w:r w:rsidR="004715EE" w:rsidRPr="00A45056">
        <w:rPr>
          <w:rFonts w:ascii="Verdana" w:hAnsi="Verdana"/>
          <w:color w:val="000000" w:themeColor="text1"/>
          <w:sz w:val="20"/>
          <w:szCs w:val="20"/>
        </w:rPr>
        <w:t xml:space="preserve"> tempo, come ormai emerge dalla disciplina degli effetti delle sentenze che </w:t>
      </w:r>
      <w:r w:rsidR="00B10DBA" w:rsidRPr="00A45056">
        <w:rPr>
          <w:rFonts w:ascii="Verdana" w:hAnsi="Verdana"/>
          <w:color w:val="000000" w:themeColor="text1"/>
          <w:sz w:val="20"/>
          <w:szCs w:val="20"/>
        </w:rPr>
        <w:t>accerta</w:t>
      </w:r>
      <w:r w:rsidR="00B10DBA">
        <w:rPr>
          <w:rFonts w:ascii="Verdana" w:hAnsi="Verdana"/>
          <w:color w:val="000000" w:themeColor="text1"/>
          <w:sz w:val="20"/>
          <w:szCs w:val="20"/>
        </w:rPr>
        <w:t>n</w:t>
      </w:r>
      <w:r w:rsidR="00B10DBA" w:rsidRPr="00A45056">
        <w:rPr>
          <w:rFonts w:ascii="Verdana" w:hAnsi="Verdana"/>
          <w:color w:val="000000" w:themeColor="text1"/>
          <w:sz w:val="20"/>
          <w:szCs w:val="20"/>
        </w:rPr>
        <w:t xml:space="preserve">o </w:t>
      </w:r>
      <w:r w:rsidR="004715EE" w:rsidRPr="00A45056">
        <w:rPr>
          <w:rFonts w:ascii="Verdana" w:hAnsi="Verdana"/>
          <w:color w:val="000000" w:themeColor="text1"/>
          <w:sz w:val="20"/>
          <w:szCs w:val="20"/>
        </w:rPr>
        <w:t>tempestivamente l’illegittimità in sede contenziosa.</w:t>
      </w:r>
    </w:p>
    <w:p w:rsidR="00597470" w:rsidRPr="00A45056" w:rsidRDefault="00707B99" w:rsidP="00510C8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 </w:t>
      </w:r>
      <w:r w:rsidR="004715EE" w:rsidRPr="00A45056">
        <w:rPr>
          <w:rFonts w:ascii="Verdana" w:hAnsi="Verdana"/>
          <w:color w:val="000000" w:themeColor="text1"/>
          <w:sz w:val="20"/>
          <w:szCs w:val="20"/>
        </w:rPr>
        <w:t>A</w:t>
      </w:r>
      <w:r w:rsidR="00597470" w:rsidRPr="00A45056">
        <w:rPr>
          <w:rFonts w:ascii="Verdana" w:hAnsi="Verdana"/>
          <w:color w:val="000000" w:themeColor="text1"/>
          <w:sz w:val="20"/>
          <w:szCs w:val="20"/>
        </w:rPr>
        <w:t>nche</w:t>
      </w:r>
      <w:r w:rsidR="004715EE" w:rsidRPr="00A45056">
        <w:rPr>
          <w:rFonts w:ascii="Verdana" w:hAnsi="Verdana"/>
          <w:color w:val="000000" w:themeColor="text1"/>
          <w:sz w:val="20"/>
          <w:szCs w:val="20"/>
        </w:rPr>
        <w:t xml:space="preserve"> in sede di</w:t>
      </w:r>
      <w:r w:rsidR="00597470" w:rsidRPr="00A45056">
        <w:rPr>
          <w:rFonts w:ascii="Verdana" w:hAnsi="Verdana"/>
          <w:color w:val="000000" w:themeColor="text1"/>
          <w:sz w:val="20"/>
          <w:szCs w:val="20"/>
        </w:rPr>
        <w:t xml:space="preserve"> autotutela</w:t>
      </w:r>
      <w:r w:rsidR="004715EE" w:rsidRPr="00A45056">
        <w:rPr>
          <w:rFonts w:ascii="Verdana" w:hAnsi="Verdana"/>
          <w:color w:val="000000" w:themeColor="text1"/>
          <w:sz w:val="20"/>
          <w:szCs w:val="20"/>
        </w:rPr>
        <w:t>, infatti,</w:t>
      </w:r>
      <w:r w:rsidR="00597470" w:rsidRPr="00A45056">
        <w:rPr>
          <w:rFonts w:ascii="Verdana" w:hAnsi="Verdana"/>
          <w:color w:val="000000" w:themeColor="text1"/>
          <w:sz w:val="20"/>
          <w:szCs w:val="20"/>
        </w:rPr>
        <w:t xml:space="preserve"> l’ordinamento non ammette automatismi</w:t>
      </w:r>
      <w:r w:rsidR="00A43226" w:rsidRPr="00A45056">
        <w:rPr>
          <w:rFonts w:ascii="Verdana" w:hAnsi="Verdana"/>
          <w:color w:val="000000" w:themeColor="text1"/>
          <w:sz w:val="20"/>
          <w:szCs w:val="20"/>
        </w:rPr>
        <w:t xml:space="preserve"> in base alla mera rilevazione di una illegittimità</w:t>
      </w:r>
      <w:r w:rsidR="00597470" w:rsidRPr="00A45056">
        <w:rPr>
          <w:rFonts w:ascii="Verdana" w:hAnsi="Verdana"/>
          <w:color w:val="000000" w:themeColor="text1"/>
          <w:sz w:val="20"/>
          <w:szCs w:val="20"/>
        </w:rPr>
        <w:t xml:space="preserve">, ma subordina </w:t>
      </w:r>
      <w:r w:rsidR="00916A7B" w:rsidRPr="00A45056">
        <w:rPr>
          <w:rFonts w:ascii="Verdana" w:hAnsi="Verdana"/>
          <w:color w:val="000000" w:themeColor="text1"/>
          <w:sz w:val="20"/>
          <w:szCs w:val="20"/>
        </w:rPr>
        <w:t xml:space="preserve">il ritiro </w:t>
      </w:r>
      <w:r w:rsidR="00132FE6">
        <w:rPr>
          <w:rFonts w:ascii="Verdana" w:hAnsi="Verdana"/>
          <w:color w:val="000000" w:themeColor="text1"/>
          <w:sz w:val="20"/>
          <w:szCs w:val="20"/>
        </w:rPr>
        <w:t xml:space="preserve">degli atti </w:t>
      </w:r>
      <w:r w:rsidR="00916A7B" w:rsidRPr="00A45056">
        <w:rPr>
          <w:rFonts w:ascii="Verdana" w:hAnsi="Verdana"/>
          <w:color w:val="000000" w:themeColor="text1"/>
          <w:sz w:val="20"/>
          <w:szCs w:val="20"/>
        </w:rPr>
        <w:t xml:space="preserve">alla sussistenza di </w:t>
      </w:r>
      <w:r w:rsidR="003F4140">
        <w:rPr>
          <w:rFonts w:ascii="Verdana" w:hAnsi="Verdana"/>
          <w:color w:val="000000" w:themeColor="text1"/>
          <w:sz w:val="20"/>
          <w:szCs w:val="20"/>
        </w:rPr>
        <w:t xml:space="preserve">un </w:t>
      </w:r>
      <w:r w:rsidR="00916A7B" w:rsidRPr="00A45056">
        <w:rPr>
          <w:rFonts w:ascii="Verdana" w:hAnsi="Verdana"/>
          <w:color w:val="000000" w:themeColor="text1"/>
          <w:sz w:val="20"/>
          <w:szCs w:val="20"/>
        </w:rPr>
        <w:t>interesse pubblico</w:t>
      </w:r>
      <w:r w:rsidR="00E259E6" w:rsidRPr="00A45056">
        <w:rPr>
          <w:rFonts w:ascii="Verdana" w:hAnsi="Verdana"/>
          <w:color w:val="000000" w:themeColor="text1"/>
          <w:sz w:val="20"/>
          <w:szCs w:val="20"/>
        </w:rPr>
        <w:t xml:space="preserve"> specifico e concreto ulteriore</w:t>
      </w:r>
      <w:r w:rsidR="00570812" w:rsidRPr="00A45056">
        <w:rPr>
          <w:rFonts w:ascii="Verdana" w:hAnsi="Verdana"/>
          <w:color w:val="000000" w:themeColor="text1"/>
          <w:sz w:val="20"/>
          <w:szCs w:val="20"/>
        </w:rPr>
        <w:t>,</w:t>
      </w:r>
      <w:r w:rsidR="00E259E6" w:rsidRPr="00A45056">
        <w:rPr>
          <w:rFonts w:ascii="Verdana" w:hAnsi="Verdana"/>
          <w:color w:val="000000" w:themeColor="text1"/>
          <w:sz w:val="20"/>
          <w:szCs w:val="20"/>
        </w:rPr>
        <w:t xml:space="preserve"> </w:t>
      </w:r>
      <w:r w:rsidR="00570812" w:rsidRPr="00A45056">
        <w:rPr>
          <w:rFonts w:ascii="Verdana" w:hAnsi="Verdana"/>
          <w:color w:val="000000" w:themeColor="text1"/>
          <w:sz w:val="20"/>
          <w:szCs w:val="20"/>
        </w:rPr>
        <w:t>“</w:t>
      </w:r>
      <w:r w:rsidR="00E259E6" w:rsidRPr="00A45056">
        <w:rPr>
          <w:rFonts w:ascii="Verdana" w:hAnsi="Verdana"/>
          <w:color w:val="000000" w:themeColor="text1"/>
          <w:sz w:val="20"/>
          <w:szCs w:val="20"/>
        </w:rPr>
        <w:t>di norma</w:t>
      </w:r>
      <w:r w:rsidR="00570812" w:rsidRPr="00A45056">
        <w:rPr>
          <w:rFonts w:ascii="Verdana" w:hAnsi="Verdana"/>
          <w:color w:val="000000" w:themeColor="text1"/>
          <w:sz w:val="20"/>
          <w:szCs w:val="20"/>
        </w:rPr>
        <w:t>”</w:t>
      </w:r>
      <w:r w:rsidR="00E259E6" w:rsidRPr="00A45056">
        <w:rPr>
          <w:rFonts w:ascii="Verdana" w:hAnsi="Verdana"/>
          <w:color w:val="000000" w:themeColor="text1"/>
          <w:sz w:val="20"/>
          <w:szCs w:val="20"/>
        </w:rPr>
        <w:t xml:space="preserve"> considerato </w:t>
      </w:r>
      <w:r w:rsidR="00E259E6" w:rsidRPr="00A45056">
        <w:rPr>
          <w:rFonts w:ascii="Verdana" w:hAnsi="Verdana"/>
          <w:i/>
          <w:color w:val="000000" w:themeColor="text1"/>
          <w:sz w:val="20"/>
          <w:szCs w:val="20"/>
        </w:rPr>
        <w:t xml:space="preserve">in re </w:t>
      </w:r>
      <w:proofErr w:type="spellStart"/>
      <w:r w:rsidR="00E259E6" w:rsidRPr="00A45056">
        <w:rPr>
          <w:rFonts w:ascii="Verdana" w:hAnsi="Verdana"/>
          <w:i/>
          <w:color w:val="000000" w:themeColor="text1"/>
          <w:sz w:val="20"/>
          <w:szCs w:val="20"/>
        </w:rPr>
        <w:t>ipsa</w:t>
      </w:r>
      <w:proofErr w:type="spellEnd"/>
      <w:r w:rsidR="00E259E6" w:rsidRPr="00A45056">
        <w:rPr>
          <w:rFonts w:ascii="Verdana" w:hAnsi="Verdana"/>
          <w:color w:val="000000" w:themeColor="text1"/>
          <w:sz w:val="20"/>
          <w:szCs w:val="20"/>
        </w:rPr>
        <w:t xml:space="preserve"> a fronte di atti aventi effetti permanenti nel tempo e</w:t>
      </w:r>
      <w:r w:rsidR="00B10DBA">
        <w:rPr>
          <w:rFonts w:ascii="Verdana" w:hAnsi="Verdana"/>
          <w:color w:val="000000" w:themeColor="text1"/>
          <w:sz w:val="20"/>
          <w:szCs w:val="20"/>
        </w:rPr>
        <w:t xml:space="preserve"> </w:t>
      </w:r>
      <w:r w:rsidR="00E259E6" w:rsidRPr="00A45056">
        <w:rPr>
          <w:rFonts w:ascii="Verdana" w:hAnsi="Verdana"/>
          <w:color w:val="000000" w:themeColor="text1"/>
          <w:sz w:val="20"/>
          <w:szCs w:val="20"/>
        </w:rPr>
        <w:t>a fronte dell’accertamento di un’illegittimità da parte della magistratura del controllo</w:t>
      </w:r>
      <w:r w:rsidR="004715EE" w:rsidRPr="00A45056">
        <w:rPr>
          <w:rFonts w:ascii="Verdana" w:hAnsi="Verdana"/>
          <w:color w:val="000000" w:themeColor="text1"/>
          <w:sz w:val="20"/>
          <w:szCs w:val="20"/>
        </w:rPr>
        <w:t>.</w:t>
      </w:r>
    </w:p>
    <w:p w:rsidR="00570812" w:rsidRPr="00A45056" w:rsidRDefault="00570812" w:rsidP="00510C8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Tale automatismo non può sussistere </w:t>
      </w:r>
      <w:r w:rsidR="004715EE" w:rsidRPr="00A45056">
        <w:rPr>
          <w:rFonts w:ascii="Verdana" w:hAnsi="Verdana"/>
          <w:color w:val="000000" w:themeColor="text1"/>
          <w:sz w:val="20"/>
          <w:szCs w:val="20"/>
        </w:rPr>
        <w:t xml:space="preserve">nemmeno in relazione al </w:t>
      </w:r>
      <w:proofErr w:type="spellStart"/>
      <w:r w:rsidR="004715EE" w:rsidRPr="00A45056">
        <w:rPr>
          <w:rFonts w:ascii="Verdana" w:hAnsi="Verdana"/>
          <w:i/>
          <w:color w:val="000000" w:themeColor="text1"/>
          <w:sz w:val="20"/>
          <w:szCs w:val="20"/>
        </w:rPr>
        <w:t>quomodo</w:t>
      </w:r>
      <w:proofErr w:type="spellEnd"/>
      <w:r w:rsidR="004715EE" w:rsidRPr="00A45056">
        <w:rPr>
          <w:rFonts w:ascii="Verdana" w:hAnsi="Verdana"/>
          <w:color w:val="000000" w:themeColor="text1"/>
          <w:sz w:val="20"/>
          <w:szCs w:val="20"/>
        </w:rPr>
        <w:t xml:space="preserve"> dell’autotutela, </w:t>
      </w:r>
      <w:r w:rsidR="00A43226" w:rsidRPr="00A45056">
        <w:rPr>
          <w:rFonts w:ascii="Verdana" w:hAnsi="Verdana"/>
          <w:color w:val="000000" w:themeColor="text1"/>
          <w:sz w:val="20"/>
          <w:szCs w:val="20"/>
        </w:rPr>
        <w:t xml:space="preserve">in ragione della peculiare </w:t>
      </w:r>
      <w:r w:rsidR="003A0FCB" w:rsidRPr="00A45056">
        <w:rPr>
          <w:rFonts w:ascii="Verdana" w:hAnsi="Verdana"/>
          <w:color w:val="000000" w:themeColor="text1"/>
          <w:sz w:val="20"/>
          <w:szCs w:val="20"/>
        </w:rPr>
        <w:t xml:space="preserve">cautela che l’ordinamento assume a fronte </w:t>
      </w:r>
      <w:r w:rsidRPr="00A45056">
        <w:rPr>
          <w:rFonts w:ascii="Verdana" w:hAnsi="Verdana"/>
          <w:color w:val="000000" w:themeColor="text1"/>
          <w:sz w:val="20"/>
          <w:szCs w:val="20"/>
        </w:rPr>
        <w:t>di situazioni stabilizzate nel tempo, a valle di aggiudicazioni illegittime.</w:t>
      </w:r>
    </w:p>
    <w:p w:rsidR="00F1668C" w:rsidRPr="00A45056" w:rsidRDefault="00675AD7" w:rsidP="00510C8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w:t>
      </w:r>
      <w:r w:rsidR="003A0FCB" w:rsidRPr="00A45056">
        <w:rPr>
          <w:rFonts w:ascii="Verdana" w:hAnsi="Verdana"/>
          <w:color w:val="000000" w:themeColor="text1"/>
          <w:sz w:val="20"/>
          <w:szCs w:val="20"/>
        </w:rPr>
        <w:t xml:space="preserve">a peculiare rilevanza di </w:t>
      </w:r>
      <w:r w:rsidR="00B10DBA" w:rsidRPr="00A45056">
        <w:rPr>
          <w:rFonts w:ascii="Verdana" w:hAnsi="Verdana"/>
          <w:color w:val="000000" w:themeColor="text1"/>
          <w:sz w:val="20"/>
          <w:szCs w:val="20"/>
        </w:rPr>
        <w:t>tal</w:t>
      </w:r>
      <w:r w:rsidR="00B10DBA">
        <w:rPr>
          <w:rFonts w:ascii="Verdana" w:hAnsi="Verdana"/>
          <w:color w:val="000000" w:themeColor="text1"/>
          <w:sz w:val="20"/>
          <w:szCs w:val="20"/>
        </w:rPr>
        <w:t>e</w:t>
      </w:r>
      <w:r w:rsidR="00B10DBA" w:rsidRPr="00A45056">
        <w:rPr>
          <w:rFonts w:ascii="Verdana" w:hAnsi="Verdana"/>
          <w:color w:val="000000" w:themeColor="text1"/>
          <w:sz w:val="20"/>
          <w:szCs w:val="20"/>
        </w:rPr>
        <w:t xml:space="preserve"> </w:t>
      </w:r>
      <w:r w:rsidR="003A0FCB" w:rsidRPr="00A45056">
        <w:rPr>
          <w:rFonts w:ascii="Verdana" w:hAnsi="Verdana"/>
          <w:color w:val="000000" w:themeColor="text1"/>
          <w:sz w:val="20"/>
          <w:szCs w:val="20"/>
        </w:rPr>
        <w:t>interesse, in termini di tutela dell</w:t>
      </w:r>
      <w:r w:rsidR="00F1668C" w:rsidRPr="00A45056">
        <w:rPr>
          <w:rFonts w:ascii="Verdana" w:hAnsi="Verdana"/>
          <w:color w:val="000000" w:themeColor="text1"/>
          <w:sz w:val="20"/>
          <w:szCs w:val="20"/>
        </w:rPr>
        <w:t xml:space="preserve">’affidamento e continuità dell’amministrazione, </w:t>
      </w:r>
      <w:r w:rsidR="00EE34C9" w:rsidRPr="00A45056">
        <w:rPr>
          <w:rFonts w:ascii="Verdana" w:hAnsi="Verdana"/>
          <w:color w:val="000000" w:themeColor="text1"/>
          <w:sz w:val="20"/>
          <w:szCs w:val="20"/>
        </w:rPr>
        <w:t xml:space="preserve">come si accennava, </w:t>
      </w:r>
      <w:r w:rsidR="00F1668C" w:rsidRPr="00A45056">
        <w:rPr>
          <w:rFonts w:ascii="Verdana" w:hAnsi="Verdana"/>
          <w:color w:val="000000" w:themeColor="text1"/>
          <w:sz w:val="20"/>
          <w:szCs w:val="20"/>
        </w:rPr>
        <w:t xml:space="preserve">emerge in tutta evidenza nelle recenti riforme del processo amministrativo che </w:t>
      </w:r>
      <w:r w:rsidR="007B3501" w:rsidRPr="00A45056">
        <w:rPr>
          <w:rFonts w:ascii="Verdana" w:hAnsi="Verdana"/>
          <w:color w:val="000000" w:themeColor="text1"/>
          <w:sz w:val="20"/>
          <w:szCs w:val="20"/>
        </w:rPr>
        <w:t>consentono</w:t>
      </w:r>
      <w:r w:rsidR="00F1668C" w:rsidRPr="00A45056">
        <w:rPr>
          <w:rFonts w:ascii="Verdana" w:hAnsi="Verdana"/>
          <w:color w:val="000000" w:themeColor="text1"/>
          <w:sz w:val="20"/>
          <w:szCs w:val="20"/>
        </w:rPr>
        <w:t>, persino in sede contenziosa, di</w:t>
      </w:r>
      <w:r w:rsidR="007B3501" w:rsidRPr="00A45056">
        <w:rPr>
          <w:rFonts w:ascii="Verdana" w:hAnsi="Verdana"/>
          <w:color w:val="000000" w:themeColor="text1"/>
          <w:sz w:val="20"/>
          <w:szCs w:val="20"/>
        </w:rPr>
        <w:t xml:space="preserve"> </w:t>
      </w:r>
      <w:r w:rsidR="00F1668C" w:rsidRPr="00A45056">
        <w:rPr>
          <w:rFonts w:ascii="Verdana" w:hAnsi="Verdana"/>
          <w:color w:val="000000" w:themeColor="text1"/>
          <w:sz w:val="20"/>
          <w:szCs w:val="20"/>
        </w:rPr>
        <w:t xml:space="preserve">limitare gli effetti della </w:t>
      </w:r>
      <w:r w:rsidR="007B3501" w:rsidRPr="00A45056">
        <w:rPr>
          <w:rFonts w:ascii="Verdana" w:hAnsi="Verdana"/>
          <w:color w:val="000000" w:themeColor="text1"/>
          <w:sz w:val="20"/>
          <w:szCs w:val="20"/>
        </w:rPr>
        <w:t>pronuncia</w:t>
      </w:r>
      <w:r w:rsidR="00F1668C" w:rsidRPr="00A45056">
        <w:rPr>
          <w:rFonts w:ascii="Verdana" w:hAnsi="Verdana"/>
          <w:color w:val="000000" w:themeColor="text1"/>
          <w:sz w:val="20"/>
          <w:szCs w:val="20"/>
        </w:rPr>
        <w:t xml:space="preserve"> del giudice </w:t>
      </w:r>
      <w:r w:rsidR="007B3501" w:rsidRPr="00A45056">
        <w:rPr>
          <w:rFonts w:ascii="Verdana" w:hAnsi="Verdana"/>
          <w:color w:val="000000" w:themeColor="text1"/>
          <w:sz w:val="20"/>
          <w:szCs w:val="20"/>
        </w:rPr>
        <w:t>amministrativo</w:t>
      </w:r>
      <w:r w:rsidR="00F1668C" w:rsidRPr="00A45056">
        <w:rPr>
          <w:rFonts w:ascii="Verdana" w:hAnsi="Verdana"/>
          <w:color w:val="000000" w:themeColor="text1"/>
          <w:sz w:val="20"/>
          <w:szCs w:val="20"/>
        </w:rPr>
        <w:t xml:space="preserve">, </w:t>
      </w:r>
      <w:r w:rsidR="007B3501" w:rsidRPr="00A45056">
        <w:rPr>
          <w:rFonts w:ascii="Verdana" w:hAnsi="Verdana"/>
          <w:color w:val="000000" w:themeColor="text1"/>
          <w:sz w:val="20"/>
          <w:szCs w:val="20"/>
        </w:rPr>
        <w:t>prevedend</w:t>
      </w:r>
      <w:r w:rsidR="00CF4B5C" w:rsidRPr="00A45056">
        <w:rPr>
          <w:rFonts w:ascii="Verdana" w:hAnsi="Verdana"/>
          <w:color w:val="000000" w:themeColor="text1"/>
          <w:sz w:val="20"/>
          <w:szCs w:val="20"/>
        </w:rPr>
        <w:t xml:space="preserve">o, in determinate circostanze, </w:t>
      </w:r>
      <w:r w:rsidR="007B3501" w:rsidRPr="00A45056">
        <w:rPr>
          <w:rFonts w:ascii="Verdana" w:hAnsi="Verdana"/>
          <w:color w:val="000000" w:themeColor="text1"/>
          <w:sz w:val="20"/>
          <w:szCs w:val="20"/>
        </w:rPr>
        <w:t xml:space="preserve">in luogo della tutela </w:t>
      </w:r>
      <w:proofErr w:type="spellStart"/>
      <w:r w:rsidR="007B3501" w:rsidRPr="00A45056">
        <w:rPr>
          <w:rFonts w:ascii="Verdana" w:hAnsi="Verdana"/>
          <w:color w:val="000000" w:themeColor="text1"/>
          <w:sz w:val="20"/>
          <w:szCs w:val="20"/>
        </w:rPr>
        <w:t>cadu</w:t>
      </w:r>
      <w:r w:rsidR="00F1668C" w:rsidRPr="00A45056">
        <w:rPr>
          <w:rFonts w:ascii="Verdana" w:hAnsi="Verdana"/>
          <w:color w:val="000000" w:themeColor="text1"/>
          <w:sz w:val="20"/>
          <w:szCs w:val="20"/>
        </w:rPr>
        <w:t>catoria</w:t>
      </w:r>
      <w:proofErr w:type="spellEnd"/>
      <w:r w:rsidR="00B10DBA">
        <w:rPr>
          <w:rFonts w:ascii="Verdana" w:hAnsi="Verdana"/>
          <w:color w:val="000000" w:themeColor="text1"/>
          <w:sz w:val="20"/>
          <w:szCs w:val="20"/>
        </w:rPr>
        <w:t>,</w:t>
      </w:r>
      <w:r w:rsidR="00F1668C" w:rsidRPr="00A45056">
        <w:rPr>
          <w:rFonts w:ascii="Verdana" w:hAnsi="Verdana"/>
          <w:color w:val="000000" w:themeColor="text1"/>
          <w:sz w:val="20"/>
          <w:szCs w:val="20"/>
        </w:rPr>
        <w:t xml:space="preserve"> le c.d. “sanzioni alternative”</w:t>
      </w:r>
      <w:r w:rsidR="003C51EC" w:rsidRPr="00A45056">
        <w:rPr>
          <w:rFonts w:ascii="Verdana" w:hAnsi="Verdana"/>
          <w:color w:val="000000" w:themeColor="text1"/>
          <w:sz w:val="20"/>
          <w:szCs w:val="20"/>
        </w:rPr>
        <w:t>.</w:t>
      </w:r>
    </w:p>
    <w:p w:rsidR="000D10B5" w:rsidRPr="00A45056" w:rsidRDefault="003C51EC" w:rsidP="00510C82">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Con l’art. 121 </w:t>
      </w:r>
      <w:proofErr w:type="spellStart"/>
      <w:r w:rsidRPr="00A45056">
        <w:rPr>
          <w:rFonts w:ascii="Verdana" w:hAnsi="Verdana"/>
          <w:color w:val="000000" w:themeColor="text1"/>
          <w:sz w:val="20"/>
          <w:szCs w:val="20"/>
        </w:rPr>
        <w:t>c.p.a</w:t>
      </w:r>
      <w:proofErr w:type="spellEnd"/>
      <w:r w:rsidRPr="00A45056">
        <w:rPr>
          <w:rFonts w:ascii="Verdana" w:hAnsi="Verdana"/>
          <w:color w:val="000000" w:themeColor="text1"/>
          <w:sz w:val="20"/>
          <w:szCs w:val="20"/>
        </w:rPr>
        <w:t xml:space="preserve">., infatti, il Legislatore ha </w:t>
      </w:r>
      <w:proofErr w:type="spellStart"/>
      <w:r w:rsidR="0081113F" w:rsidRPr="00A45056">
        <w:rPr>
          <w:rFonts w:ascii="Verdana" w:hAnsi="Verdana"/>
          <w:color w:val="000000" w:themeColor="text1"/>
          <w:sz w:val="20"/>
          <w:szCs w:val="20"/>
        </w:rPr>
        <w:t>innovativamente</w:t>
      </w:r>
      <w:proofErr w:type="spellEnd"/>
      <w:r w:rsidR="0081113F" w:rsidRPr="00A45056">
        <w:rPr>
          <w:rFonts w:ascii="Verdana" w:hAnsi="Verdana"/>
          <w:color w:val="000000" w:themeColor="text1"/>
          <w:sz w:val="20"/>
          <w:szCs w:val="20"/>
        </w:rPr>
        <w:t xml:space="preserve"> introdotto la possibilità di limitare nel tempo gli effetti dell’accertamento </w:t>
      </w:r>
      <w:r w:rsidR="00E9605F" w:rsidRPr="00A45056">
        <w:rPr>
          <w:rFonts w:ascii="Verdana" w:hAnsi="Verdana"/>
          <w:color w:val="000000" w:themeColor="text1"/>
          <w:sz w:val="20"/>
          <w:szCs w:val="20"/>
        </w:rPr>
        <w:t xml:space="preserve">costitutivo </w:t>
      </w:r>
      <w:r w:rsidR="0081113F" w:rsidRPr="00A45056">
        <w:rPr>
          <w:rFonts w:ascii="Verdana" w:hAnsi="Verdana"/>
          <w:color w:val="000000" w:themeColor="text1"/>
          <w:sz w:val="20"/>
          <w:szCs w:val="20"/>
        </w:rPr>
        <w:t xml:space="preserve">dell’illegittimità, </w:t>
      </w:r>
      <w:r w:rsidR="00DE7840" w:rsidRPr="00A45056">
        <w:rPr>
          <w:rFonts w:ascii="Verdana" w:hAnsi="Verdana"/>
          <w:color w:val="000000" w:themeColor="text1"/>
          <w:sz w:val="20"/>
          <w:szCs w:val="20"/>
        </w:rPr>
        <w:t>in presenza di determinate “esigenze imperative”</w:t>
      </w:r>
      <w:r w:rsidR="00837B8A" w:rsidRPr="00A45056">
        <w:rPr>
          <w:rFonts w:ascii="Verdana" w:hAnsi="Verdana"/>
          <w:color w:val="000000" w:themeColor="text1"/>
          <w:sz w:val="20"/>
          <w:szCs w:val="20"/>
        </w:rPr>
        <w:t xml:space="preserve"> </w:t>
      </w:r>
      <w:r w:rsidR="00675AD7" w:rsidRPr="00A45056">
        <w:rPr>
          <w:rFonts w:ascii="Verdana" w:hAnsi="Verdana"/>
          <w:color w:val="000000" w:themeColor="text1"/>
          <w:sz w:val="20"/>
          <w:szCs w:val="20"/>
        </w:rPr>
        <w:t>«</w:t>
      </w:r>
      <w:r w:rsidR="00790494" w:rsidRPr="00A45056">
        <w:rPr>
          <w:rFonts w:ascii="Verdana" w:hAnsi="Verdana"/>
          <w:i/>
          <w:color w:val="000000" w:themeColor="text1"/>
          <w:sz w:val="20"/>
          <w:szCs w:val="20"/>
        </w:rPr>
        <w:t>connesse ad un interesse generale imponga che i suoi effetti siano mantenuti. Tra le esigenze imperative rientrano, fra l'altro, quelle imprescindibili di carattere tecnico o di altro tipo, tali da rendere evidente che i residui obblighi contrattuali possono essere rispettati solo dall'esecutore attuale. Gli interessi economici possono essere presi in considerazione come esigenze imperative solo in circostanze eccezionali in cui l'inefficacia del contratto condu</w:t>
      </w:r>
      <w:r w:rsidR="00837B8A" w:rsidRPr="00A45056">
        <w:rPr>
          <w:rFonts w:ascii="Verdana" w:hAnsi="Verdana"/>
          <w:i/>
          <w:color w:val="000000" w:themeColor="text1"/>
          <w:sz w:val="20"/>
          <w:szCs w:val="20"/>
        </w:rPr>
        <w:t>ce a conseguenze sproporzionate</w:t>
      </w:r>
      <w:proofErr w:type="gramStart"/>
      <w:r w:rsidR="00675AD7" w:rsidRPr="00A45056">
        <w:rPr>
          <w:rFonts w:ascii="Verdana" w:hAnsi="Verdana"/>
          <w:color w:val="000000" w:themeColor="text1"/>
          <w:sz w:val="20"/>
          <w:szCs w:val="20"/>
        </w:rPr>
        <w:t>»</w:t>
      </w:r>
      <w:r w:rsidR="00AF7D75" w:rsidRPr="00A45056">
        <w:rPr>
          <w:rFonts w:ascii="Verdana" w:hAnsi="Verdana"/>
          <w:color w:val="000000" w:themeColor="text1"/>
          <w:sz w:val="20"/>
          <w:szCs w:val="20"/>
        </w:rPr>
        <w:t xml:space="preserve"> </w:t>
      </w:r>
      <w:r w:rsidR="00B10DBA">
        <w:rPr>
          <w:rFonts w:ascii="Verdana" w:hAnsi="Verdana"/>
          <w:color w:val="000000" w:themeColor="text1"/>
          <w:sz w:val="20"/>
          <w:szCs w:val="20"/>
        </w:rPr>
        <w:t>.</w:t>
      </w:r>
      <w:proofErr w:type="gramEnd"/>
    </w:p>
    <w:p w:rsidR="00884F2A" w:rsidRPr="00A45056" w:rsidRDefault="008B7B79" w:rsidP="0038638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Appare evidente che</w:t>
      </w:r>
      <w:r w:rsidR="00C75F47" w:rsidRPr="00A45056">
        <w:rPr>
          <w:rFonts w:ascii="Verdana" w:hAnsi="Verdana"/>
          <w:color w:val="000000" w:themeColor="text1"/>
          <w:sz w:val="20"/>
          <w:szCs w:val="20"/>
        </w:rPr>
        <w:t>,</w:t>
      </w:r>
      <w:r w:rsidRPr="00A45056">
        <w:rPr>
          <w:rFonts w:ascii="Verdana" w:hAnsi="Verdana"/>
          <w:color w:val="000000" w:themeColor="text1"/>
          <w:sz w:val="20"/>
          <w:szCs w:val="20"/>
        </w:rPr>
        <w:t xml:space="preserve"> anche in questo caso, </w:t>
      </w:r>
      <w:r w:rsidR="00C75F47" w:rsidRPr="00A45056">
        <w:rPr>
          <w:rFonts w:ascii="Verdana" w:hAnsi="Verdana"/>
          <w:color w:val="000000" w:themeColor="text1"/>
          <w:sz w:val="20"/>
          <w:szCs w:val="20"/>
        </w:rPr>
        <w:t xml:space="preserve">in sede di autotutela, </w:t>
      </w:r>
      <w:r w:rsidRPr="00A45056">
        <w:rPr>
          <w:rFonts w:ascii="Verdana" w:hAnsi="Verdana"/>
          <w:color w:val="000000" w:themeColor="text1"/>
          <w:sz w:val="20"/>
          <w:szCs w:val="20"/>
        </w:rPr>
        <w:t xml:space="preserve">la stratificazione negli anni </w:t>
      </w:r>
      <w:r w:rsidR="00E9605F" w:rsidRPr="00A45056">
        <w:rPr>
          <w:rFonts w:ascii="Verdana" w:hAnsi="Verdana"/>
          <w:color w:val="000000" w:themeColor="text1"/>
          <w:sz w:val="20"/>
          <w:szCs w:val="20"/>
        </w:rPr>
        <w:t xml:space="preserve">del contratto di società, la creazione di una fitta rete di relazioni </w:t>
      </w:r>
      <w:r w:rsidR="00CD27B9" w:rsidRPr="00A45056">
        <w:rPr>
          <w:rFonts w:ascii="Verdana" w:hAnsi="Verdana"/>
          <w:color w:val="000000" w:themeColor="text1"/>
          <w:sz w:val="20"/>
          <w:szCs w:val="20"/>
        </w:rPr>
        <w:t xml:space="preserve">giuridiche ed economiche </w:t>
      </w:r>
      <w:r w:rsidR="00E9605F" w:rsidRPr="00A45056">
        <w:rPr>
          <w:rFonts w:ascii="Verdana" w:hAnsi="Verdana"/>
          <w:color w:val="000000" w:themeColor="text1"/>
          <w:sz w:val="20"/>
          <w:szCs w:val="20"/>
        </w:rPr>
        <w:t xml:space="preserve">da parte del socio privato </w:t>
      </w:r>
      <w:r w:rsidR="00CD27B9" w:rsidRPr="00A45056">
        <w:rPr>
          <w:rFonts w:ascii="Verdana" w:hAnsi="Verdana"/>
          <w:color w:val="000000" w:themeColor="text1"/>
          <w:sz w:val="20"/>
          <w:szCs w:val="20"/>
        </w:rPr>
        <w:t>che ha strutturato i</w:t>
      </w:r>
      <w:r w:rsidR="0096588D" w:rsidRPr="00A45056">
        <w:rPr>
          <w:rFonts w:ascii="Verdana" w:hAnsi="Verdana"/>
          <w:color w:val="000000" w:themeColor="text1"/>
          <w:sz w:val="20"/>
          <w:szCs w:val="20"/>
        </w:rPr>
        <w:t>l proprio piano industriale conf</w:t>
      </w:r>
      <w:r w:rsidR="00CD27B9" w:rsidRPr="00A45056">
        <w:rPr>
          <w:rFonts w:ascii="Verdana" w:hAnsi="Verdana"/>
          <w:color w:val="000000" w:themeColor="text1"/>
          <w:sz w:val="20"/>
          <w:szCs w:val="20"/>
        </w:rPr>
        <w:t>idando nella stabilità del rapporto</w:t>
      </w:r>
      <w:r w:rsidR="00813D11" w:rsidRPr="00A45056">
        <w:rPr>
          <w:rFonts w:ascii="Verdana" w:hAnsi="Verdana"/>
          <w:color w:val="000000" w:themeColor="text1"/>
          <w:sz w:val="20"/>
          <w:szCs w:val="20"/>
        </w:rPr>
        <w:t>, costituiscono un diaframma all</w:t>
      </w:r>
      <w:r w:rsidR="00C75F47" w:rsidRPr="00A45056">
        <w:rPr>
          <w:rFonts w:ascii="Verdana" w:hAnsi="Verdana"/>
          <w:color w:val="000000" w:themeColor="text1"/>
          <w:sz w:val="20"/>
          <w:szCs w:val="20"/>
        </w:rPr>
        <w:t xml:space="preserve">a </w:t>
      </w:r>
      <w:r w:rsidR="00BE37FC" w:rsidRPr="00A45056">
        <w:rPr>
          <w:rFonts w:ascii="Verdana" w:hAnsi="Verdana"/>
          <w:color w:val="000000" w:themeColor="text1"/>
          <w:sz w:val="20"/>
          <w:szCs w:val="20"/>
        </w:rPr>
        <w:t xml:space="preserve">automatica rimozione dei soggetti giuridici </w:t>
      </w:r>
      <w:r w:rsidR="00BE37FC" w:rsidRPr="00A45056">
        <w:rPr>
          <w:rFonts w:ascii="Verdana" w:hAnsi="Verdana"/>
          <w:i/>
          <w:color w:val="000000" w:themeColor="text1"/>
          <w:sz w:val="20"/>
          <w:szCs w:val="20"/>
        </w:rPr>
        <w:t>medio tempore</w:t>
      </w:r>
      <w:r w:rsidR="00884F2A" w:rsidRPr="00A45056">
        <w:rPr>
          <w:rFonts w:ascii="Verdana" w:hAnsi="Verdana"/>
          <w:color w:val="000000" w:themeColor="text1"/>
          <w:sz w:val="20"/>
          <w:szCs w:val="20"/>
        </w:rPr>
        <w:t xml:space="preserve"> creati</w:t>
      </w:r>
      <w:r w:rsidR="0096588D" w:rsidRPr="00A45056">
        <w:rPr>
          <w:rFonts w:ascii="Verdana" w:hAnsi="Verdana"/>
          <w:color w:val="000000" w:themeColor="text1"/>
          <w:sz w:val="20"/>
          <w:szCs w:val="20"/>
        </w:rPr>
        <w:t xml:space="preserve"> o al recesso dal Consorzio</w:t>
      </w:r>
      <w:r w:rsidR="00884F2A" w:rsidRPr="00A45056">
        <w:rPr>
          <w:rFonts w:ascii="Verdana" w:hAnsi="Verdana"/>
          <w:color w:val="000000" w:themeColor="text1"/>
          <w:sz w:val="20"/>
          <w:szCs w:val="20"/>
        </w:rPr>
        <w:t xml:space="preserve">, </w:t>
      </w:r>
      <w:r w:rsidR="00BE37FC" w:rsidRPr="00A45056">
        <w:rPr>
          <w:rFonts w:ascii="Verdana" w:hAnsi="Verdana"/>
          <w:color w:val="000000" w:themeColor="text1"/>
          <w:sz w:val="20"/>
          <w:szCs w:val="20"/>
        </w:rPr>
        <w:t xml:space="preserve">per l’esigenza di garantire la continuità dell’amministrazione e allo stesso tempo </w:t>
      </w:r>
      <w:r w:rsidR="0096588D" w:rsidRPr="00A45056">
        <w:rPr>
          <w:rFonts w:ascii="Verdana" w:hAnsi="Verdana"/>
          <w:color w:val="000000" w:themeColor="text1"/>
          <w:sz w:val="20"/>
          <w:szCs w:val="20"/>
        </w:rPr>
        <w:t xml:space="preserve">evitare </w:t>
      </w:r>
      <w:r w:rsidR="00BE37FC" w:rsidRPr="00A45056">
        <w:rPr>
          <w:rFonts w:ascii="Verdana" w:hAnsi="Verdana"/>
          <w:color w:val="000000" w:themeColor="text1"/>
          <w:sz w:val="20"/>
          <w:szCs w:val="20"/>
        </w:rPr>
        <w:t>un contenzioso che poter</w:t>
      </w:r>
      <w:r w:rsidR="00514E7F" w:rsidRPr="00A45056">
        <w:rPr>
          <w:rFonts w:ascii="Verdana" w:hAnsi="Verdana"/>
          <w:color w:val="000000" w:themeColor="text1"/>
          <w:sz w:val="20"/>
          <w:szCs w:val="20"/>
        </w:rPr>
        <w:t>e</w:t>
      </w:r>
      <w:r w:rsidR="00BE37FC" w:rsidRPr="00A45056">
        <w:rPr>
          <w:rFonts w:ascii="Verdana" w:hAnsi="Verdana"/>
          <w:color w:val="000000" w:themeColor="text1"/>
          <w:sz w:val="20"/>
          <w:szCs w:val="20"/>
        </w:rPr>
        <w:t>bbe danneggiare sia la</w:t>
      </w:r>
      <w:r w:rsidR="00514E7F" w:rsidRPr="00A45056">
        <w:rPr>
          <w:rFonts w:ascii="Verdana" w:hAnsi="Verdana"/>
          <w:color w:val="000000" w:themeColor="text1"/>
          <w:sz w:val="20"/>
          <w:szCs w:val="20"/>
        </w:rPr>
        <w:t xml:space="preserve"> finanza dei comuni aderenti, sia la garanzia del servizio alle comunità</w:t>
      </w:r>
      <w:r w:rsidR="00884F2A" w:rsidRPr="00A45056">
        <w:rPr>
          <w:rFonts w:ascii="Verdana" w:hAnsi="Verdana"/>
          <w:color w:val="000000" w:themeColor="text1"/>
          <w:sz w:val="20"/>
          <w:szCs w:val="20"/>
        </w:rPr>
        <w:t xml:space="preserve"> territoriali interessate.</w:t>
      </w:r>
    </w:p>
    <w:p w:rsidR="00510C82" w:rsidRPr="00A45056" w:rsidRDefault="00514E7F" w:rsidP="0038638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lastRenderedPageBreak/>
        <w:t xml:space="preserve">Per l’effetto, </w:t>
      </w:r>
      <w:r w:rsidR="00101B68" w:rsidRPr="00A45056">
        <w:rPr>
          <w:rFonts w:ascii="Verdana" w:hAnsi="Verdana"/>
          <w:color w:val="000000" w:themeColor="text1"/>
          <w:sz w:val="20"/>
          <w:szCs w:val="20"/>
        </w:rPr>
        <w:t xml:space="preserve">considerata </w:t>
      </w:r>
      <w:r w:rsidR="0038638D" w:rsidRPr="00A45056">
        <w:rPr>
          <w:rFonts w:ascii="Verdana" w:hAnsi="Verdana"/>
          <w:color w:val="000000" w:themeColor="text1"/>
          <w:sz w:val="20"/>
          <w:szCs w:val="20"/>
        </w:rPr>
        <w:t xml:space="preserve">l’attuale </w:t>
      </w:r>
      <w:proofErr w:type="spellStart"/>
      <w:r w:rsidRPr="00A45056">
        <w:rPr>
          <w:rFonts w:ascii="Verdana" w:hAnsi="Verdana"/>
          <w:i/>
          <w:color w:val="000000" w:themeColor="text1"/>
          <w:sz w:val="20"/>
          <w:szCs w:val="20"/>
        </w:rPr>
        <w:t>mission</w:t>
      </w:r>
      <w:proofErr w:type="spellEnd"/>
      <w:r w:rsidRPr="00A45056">
        <w:rPr>
          <w:rFonts w:ascii="Verdana" w:hAnsi="Verdana"/>
          <w:color w:val="000000" w:themeColor="text1"/>
          <w:sz w:val="20"/>
          <w:szCs w:val="20"/>
        </w:rPr>
        <w:t xml:space="preserve"> esercitata</w:t>
      </w:r>
      <w:r w:rsidR="0038638D" w:rsidRPr="00A45056">
        <w:rPr>
          <w:rFonts w:ascii="Verdana" w:hAnsi="Verdana"/>
          <w:color w:val="000000" w:themeColor="text1"/>
          <w:sz w:val="20"/>
          <w:szCs w:val="20"/>
        </w:rPr>
        <w:t xml:space="preserve"> </w:t>
      </w:r>
      <w:r w:rsidR="00101B68" w:rsidRPr="00A45056">
        <w:rPr>
          <w:rFonts w:ascii="Verdana" w:hAnsi="Verdana"/>
          <w:color w:val="000000" w:themeColor="text1"/>
          <w:sz w:val="20"/>
          <w:szCs w:val="20"/>
        </w:rPr>
        <w:t xml:space="preserve">dal Consorzio </w:t>
      </w:r>
      <w:r w:rsidR="004238A7" w:rsidRPr="00A45056">
        <w:rPr>
          <w:rFonts w:ascii="Verdana" w:hAnsi="Verdana"/>
          <w:color w:val="000000" w:themeColor="text1"/>
          <w:sz w:val="20"/>
          <w:szCs w:val="20"/>
        </w:rPr>
        <w:t>(</w:t>
      </w:r>
      <w:r w:rsidR="00346EFB" w:rsidRPr="00A45056">
        <w:rPr>
          <w:rFonts w:ascii="Verdana" w:hAnsi="Verdana"/>
          <w:color w:val="000000" w:themeColor="text1"/>
          <w:sz w:val="20"/>
          <w:szCs w:val="20"/>
        </w:rPr>
        <w:t xml:space="preserve">incentrata sulla partecipazione in </w:t>
      </w:r>
      <w:r w:rsidR="003B4079">
        <w:rPr>
          <w:rFonts w:ascii="Verdana" w:hAnsi="Verdana"/>
          <w:color w:val="000000" w:themeColor="text1"/>
          <w:sz w:val="20"/>
          <w:szCs w:val="20"/>
        </w:rPr>
        <w:t>INCOFARMA</w:t>
      </w:r>
      <w:r w:rsidR="00346EFB" w:rsidRPr="00A45056">
        <w:rPr>
          <w:rFonts w:ascii="Verdana" w:hAnsi="Verdana"/>
          <w:color w:val="000000" w:themeColor="text1"/>
          <w:sz w:val="20"/>
          <w:szCs w:val="20"/>
        </w:rPr>
        <w:t xml:space="preserve">, </w:t>
      </w:r>
      <w:r w:rsidR="005921C2" w:rsidRPr="00A45056">
        <w:rPr>
          <w:rFonts w:ascii="Verdana" w:hAnsi="Verdana"/>
          <w:color w:val="000000" w:themeColor="text1"/>
          <w:sz w:val="20"/>
          <w:szCs w:val="20"/>
        </w:rPr>
        <w:t xml:space="preserve">in base alla quale </w:t>
      </w:r>
      <w:r w:rsidR="00346EFB" w:rsidRPr="00A45056">
        <w:rPr>
          <w:rFonts w:ascii="Verdana" w:hAnsi="Verdana"/>
          <w:color w:val="000000" w:themeColor="text1"/>
          <w:sz w:val="20"/>
          <w:szCs w:val="20"/>
        </w:rPr>
        <w:t>provvede: al</w:t>
      </w:r>
      <w:r w:rsidR="004238A7" w:rsidRPr="00A45056">
        <w:rPr>
          <w:rFonts w:ascii="Verdana" w:hAnsi="Verdana"/>
          <w:color w:val="000000" w:themeColor="text1"/>
          <w:sz w:val="20"/>
          <w:szCs w:val="20"/>
        </w:rPr>
        <w:t>la collezione delle licenze</w:t>
      </w:r>
      <w:r w:rsidR="00595333" w:rsidRPr="00A45056">
        <w:rPr>
          <w:rFonts w:ascii="Verdana" w:hAnsi="Verdana"/>
          <w:color w:val="000000" w:themeColor="text1"/>
          <w:sz w:val="20"/>
          <w:szCs w:val="20"/>
        </w:rPr>
        <w:t xml:space="preserve"> </w:t>
      </w:r>
      <w:proofErr w:type="spellStart"/>
      <w:r w:rsidR="005921C2" w:rsidRPr="00A45056">
        <w:rPr>
          <w:rFonts w:ascii="Verdana" w:hAnsi="Verdana"/>
          <w:color w:val="000000" w:themeColor="text1"/>
          <w:sz w:val="20"/>
          <w:szCs w:val="20"/>
        </w:rPr>
        <w:t>prelazionate</w:t>
      </w:r>
      <w:proofErr w:type="spellEnd"/>
      <w:r w:rsidR="005921C2" w:rsidRPr="00A45056">
        <w:rPr>
          <w:rFonts w:ascii="Verdana" w:hAnsi="Verdana"/>
          <w:color w:val="000000" w:themeColor="text1"/>
          <w:sz w:val="20"/>
          <w:szCs w:val="20"/>
        </w:rPr>
        <w:t>, automaticamente conferite</w:t>
      </w:r>
      <w:r w:rsidR="00595333" w:rsidRPr="00A45056">
        <w:rPr>
          <w:rFonts w:ascii="Verdana" w:hAnsi="Verdana"/>
          <w:color w:val="000000" w:themeColor="text1"/>
          <w:sz w:val="20"/>
          <w:szCs w:val="20"/>
        </w:rPr>
        <w:t xml:space="preserve"> nella società mista a capitale privato prevalente</w:t>
      </w:r>
      <w:r w:rsidR="00CE6D70" w:rsidRPr="00A45056">
        <w:rPr>
          <w:rFonts w:ascii="Verdana" w:hAnsi="Verdana"/>
          <w:color w:val="000000" w:themeColor="text1"/>
          <w:sz w:val="20"/>
          <w:szCs w:val="20"/>
        </w:rPr>
        <w:t>;</w:t>
      </w:r>
      <w:r w:rsidR="004238A7" w:rsidRPr="00A45056">
        <w:rPr>
          <w:rFonts w:ascii="Verdana" w:hAnsi="Verdana"/>
          <w:color w:val="000000" w:themeColor="text1"/>
          <w:sz w:val="20"/>
          <w:szCs w:val="20"/>
        </w:rPr>
        <w:t xml:space="preserve"> </w:t>
      </w:r>
      <w:r w:rsidR="00CE6D70" w:rsidRPr="00A45056">
        <w:rPr>
          <w:rFonts w:ascii="Verdana" w:hAnsi="Verdana"/>
          <w:color w:val="000000" w:themeColor="text1"/>
          <w:sz w:val="20"/>
          <w:szCs w:val="20"/>
        </w:rPr>
        <w:t>al</w:t>
      </w:r>
      <w:r w:rsidR="004238A7" w:rsidRPr="00A45056">
        <w:rPr>
          <w:rFonts w:ascii="Verdana" w:hAnsi="Verdana"/>
          <w:color w:val="000000" w:themeColor="text1"/>
          <w:sz w:val="20"/>
          <w:szCs w:val="20"/>
        </w:rPr>
        <w:t xml:space="preserve">l’esercizio dei diritti </w:t>
      </w:r>
      <w:r w:rsidR="00E04A95" w:rsidRPr="00A45056">
        <w:rPr>
          <w:rFonts w:ascii="Verdana" w:hAnsi="Verdana"/>
          <w:color w:val="000000" w:themeColor="text1"/>
          <w:sz w:val="20"/>
          <w:szCs w:val="20"/>
        </w:rPr>
        <w:t>amministrativi e</w:t>
      </w:r>
      <w:r w:rsidR="004238A7" w:rsidRPr="00A45056">
        <w:rPr>
          <w:rFonts w:ascii="Verdana" w:hAnsi="Verdana"/>
          <w:color w:val="000000" w:themeColor="text1"/>
          <w:sz w:val="20"/>
          <w:szCs w:val="20"/>
        </w:rPr>
        <w:t xml:space="preserve">d </w:t>
      </w:r>
      <w:r w:rsidR="00E04A95" w:rsidRPr="00A45056">
        <w:rPr>
          <w:rFonts w:ascii="Verdana" w:hAnsi="Verdana"/>
          <w:color w:val="000000" w:themeColor="text1"/>
          <w:sz w:val="20"/>
          <w:szCs w:val="20"/>
        </w:rPr>
        <w:t>economici</w:t>
      </w:r>
      <w:r w:rsidR="004238A7" w:rsidRPr="00A45056">
        <w:rPr>
          <w:rFonts w:ascii="Verdana" w:hAnsi="Verdana"/>
          <w:color w:val="000000" w:themeColor="text1"/>
          <w:sz w:val="20"/>
          <w:szCs w:val="20"/>
        </w:rPr>
        <w:t xml:space="preserve"> </w:t>
      </w:r>
      <w:r w:rsidR="005921C2" w:rsidRPr="00A45056">
        <w:rPr>
          <w:rFonts w:ascii="Verdana" w:hAnsi="Verdana"/>
          <w:color w:val="000000" w:themeColor="text1"/>
          <w:sz w:val="20"/>
          <w:szCs w:val="20"/>
        </w:rPr>
        <w:t>correlati a tale</w:t>
      </w:r>
      <w:r w:rsidR="00E04A95" w:rsidRPr="00A45056">
        <w:rPr>
          <w:rFonts w:ascii="Verdana" w:hAnsi="Verdana"/>
          <w:color w:val="000000" w:themeColor="text1"/>
          <w:sz w:val="20"/>
          <w:szCs w:val="20"/>
        </w:rPr>
        <w:t xml:space="preserve"> partecipazione</w:t>
      </w:r>
      <w:r w:rsidR="00CE6D70" w:rsidRPr="00A45056">
        <w:rPr>
          <w:rFonts w:ascii="Verdana" w:hAnsi="Verdana"/>
          <w:color w:val="000000" w:themeColor="text1"/>
          <w:sz w:val="20"/>
          <w:szCs w:val="20"/>
        </w:rPr>
        <w:t>; a</w:t>
      </w:r>
      <w:r w:rsidR="00E04A95" w:rsidRPr="00A45056">
        <w:rPr>
          <w:rFonts w:ascii="Verdana" w:hAnsi="Verdana"/>
          <w:color w:val="000000" w:themeColor="text1"/>
          <w:sz w:val="20"/>
          <w:szCs w:val="20"/>
        </w:rPr>
        <w:t>l finanziamento di attività socio-sanitarie accessorie)</w:t>
      </w:r>
      <w:r w:rsidR="00595333" w:rsidRPr="00A45056">
        <w:rPr>
          <w:rFonts w:ascii="Verdana" w:hAnsi="Verdana"/>
          <w:color w:val="000000" w:themeColor="text1"/>
          <w:sz w:val="20"/>
          <w:szCs w:val="20"/>
        </w:rPr>
        <w:t xml:space="preserve"> </w:t>
      </w:r>
      <w:r w:rsidR="00101B68" w:rsidRPr="00A45056">
        <w:rPr>
          <w:rFonts w:ascii="Verdana" w:hAnsi="Verdana"/>
          <w:color w:val="000000" w:themeColor="text1"/>
          <w:sz w:val="20"/>
          <w:szCs w:val="20"/>
        </w:rPr>
        <w:t>l’</w:t>
      </w:r>
      <w:r w:rsidR="00346EFB" w:rsidRPr="00A45056">
        <w:rPr>
          <w:rFonts w:ascii="Verdana" w:hAnsi="Verdana"/>
          <w:color w:val="000000" w:themeColor="text1"/>
          <w:sz w:val="20"/>
          <w:szCs w:val="20"/>
        </w:rPr>
        <w:t>accertamento della</w:t>
      </w:r>
      <w:r w:rsidR="00101B68" w:rsidRPr="00A45056">
        <w:rPr>
          <w:rFonts w:ascii="Verdana" w:hAnsi="Verdana"/>
          <w:color w:val="000000" w:themeColor="text1"/>
          <w:sz w:val="20"/>
          <w:szCs w:val="20"/>
        </w:rPr>
        <w:t xml:space="preserve"> illegittimità </w:t>
      </w:r>
      <w:r w:rsidR="00346EFB" w:rsidRPr="00A45056">
        <w:rPr>
          <w:rFonts w:ascii="Verdana" w:hAnsi="Verdana"/>
          <w:color w:val="000000" w:themeColor="text1"/>
          <w:sz w:val="20"/>
          <w:szCs w:val="20"/>
        </w:rPr>
        <w:t xml:space="preserve">originaria della </w:t>
      </w:r>
      <w:r w:rsidR="0008141B" w:rsidRPr="00A45056">
        <w:rPr>
          <w:rFonts w:ascii="Verdana" w:hAnsi="Verdana"/>
          <w:color w:val="000000" w:themeColor="text1"/>
          <w:sz w:val="20"/>
          <w:szCs w:val="20"/>
        </w:rPr>
        <w:t>modalità di gestione del servizio</w:t>
      </w:r>
      <w:r w:rsidR="00CE6D70" w:rsidRPr="00A45056">
        <w:rPr>
          <w:rFonts w:ascii="Verdana" w:hAnsi="Verdana"/>
          <w:color w:val="000000" w:themeColor="text1"/>
          <w:sz w:val="20"/>
          <w:szCs w:val="20"/>
        </w:rPr>
        <w:t xml:space="preserve"> comporta </w:t>
      </w:r>
      <w:r w:rsidR="0096588D" w:rsidRPr="00A45056">
        <w:rPr>
          <w:rFonts w:ascii="Verdana" w:hAnsi="Verdana"/>
          <w:color w:val="000000" w:themeColor="text1"/>
          <w:sz w:val="20"/>
          <w:szCs w:val="20"/>
        </w:rPr>
        <w:t xml:space="preserve">peraltro </w:t>
      </w:r>
      <w:r w:rsidR="00F96420" w:rsidRPr="00A45056">
        <w:rPr>
          <w:rFonts w:ascii="Verdana" w:hAnsi="Verdana"/>
          <w:color w:val="000000" w:themeColor="text1"/>
          <w:sz w:val="20"/>
          <w:szCs w:val="20"/>
        </w:rPr>
        <w:t>l’impossibilità</w:t>
      </w:r>
      <w:r w:rsidR="00CE6D70" w:rsidRPr="00A45056">
        <w:rPr>
          <w:rFonts w:ascii="Verdana" w:hAnsi="Verdana"/>
          <w:color w:val="000000" w:themeColor="text1"/>
          <w:sz w:val="20"/>
          <w:szCs w:val="20"/>
        </w:rPr>
        <w:t xml:space="preserve"> per il Consorzio d</w:t>
      </w:r>
      <w:r w:rsidR="00F96420" w:rsidRPr="00A45056">
        <w:rPr>
          <w:rFonts w:ascii="Verdana" w:hAnsi="Verdana"/>
          <w:color w:val="000000" w:themeColor="text1"/>
          <w:sz w:val="20"/>
          <w:szCs w:val="20"/>
        </w:rPr>
        <w:t>i accettare ulteriori adesioni fino a modifica dell’art. 3 dello Statuto, nei termini e per le ragioni di seguito esplicitate.</w:t>
      </w:r>
    </w:p>
    <w:p w:rsidR="00824F29" w:rsidRPr="00A45056" w:rsidRDefault="00F6386A" w:rsidP="00824F29">
      <w:pPr>
        <w:shd w:val="clear" w:color="auto" w:fill="FEFFFF"/>
        <w:spacing w:line="360" w:lineRule="auto"/>
        <w:jc w:val="both"/>
        <w:rPr>
          <w:rFonts w:ascii="Verdana" w:hAnsi="Verdana"/>
          <w:b/>
          <w:sz w:val="20"/>
          <w:szCs w:val="20"/>
        </w:rPr>
      </w:pPr>
      <w:r w:rsidRPr="00A45056">
        <w:rPr>
          <w:rFonts w:ascii="Verdana" w:hAnsi="Verdana"/>
          <w:b/>
          <w:sz w:val="20"/>
          <w:szCs w:val="20"/>
        </w:rPr>
        <w:t>2</w:t>
      </w:r>
      <w:r w:rsidR="00824F29" w:rsidRPr="00A45056">
        <w:rPr>
          <w:rFonts w:ascii="Verdana" w:hAnsi="Verdana"/>
          <w:b/>
          <w:sz w:val="20"/>
          <w:szCs w:val="20"/>
        </w:rPr>
        <w:t>) AUTOMATICO CONFER</w:t>
      </w:r>
      <w:r w:rsidR="00BB6868" w:rsidRPr="00A45056">
        <w:rPr>
          <w:rFonts w:ascii="Verdana" w:hAnsi="Verdana"/>
          <w:b/>
          <w:sz w:val="20"/>
          <w:szCs w:val="20"/>
        </w:rPr>
        <w:t xml:space="preserve">IMENTO DELLE </w:t>
      </w:r>
      <w:r w:rsidR="00E61E73" w:rsidRPr="00A45056">
        <w:rPr>
          <w:rFonts w:ascii="Verdana" w:hAnsi="Verdana"/>
          <w:b/>
          <w:sz w:val="20"/>
          <w:szCs w:val="20"/>
        </w:rPr>
        <w:t>“</w:t>
      </w:r>
      <w:r w:rsidR="00BB6868" w:rsidRPr="00A45056">
        <w:rPr>
          <w:rFonts w:ascii="Verdana" w:hAnsi="Verdana"/>
          <w:b/>
          <w:sz w:val="20"/>
          <w:szCs w:val="20"/>
        </w:rPr>
        <w:t>LICENZE</w:t>
      </w:r>
      <w:r w:rsidR="00E61E73" w:rsidRPr="00A45056">
        <w:rPr>
          <w:rFonts w:ascii="Verdana" w:hAnsi="Verdana"/>
          <w:b/>
          <w:sz w:val="20"/>
          <w:szCs w:val="20"/>
        </w:rPr>
        <w:t>”</w:t>
      </w:r>
      <w:r w:rsidR="00BB6868" w:rsidRPr="00A45056">
        <w:rPr>
          <w:rFonts w:ascii="Verdana" w:hAnsi="Verdana"/>
          <w:b/>
          <w:sz w:val="20"/>
          <w:szCs w:val="20"/>
        </w:rPr>
        <w:t xml:space="preserve"> IN </w:t>
      </w:r>
      <w:r w:rsidR="003B4079">
        <w:rPr>
          <w:rFonts w:ascii="Verdana" w:hAnsi="Verdana"/>
          <w:b/>
          <w:sz w:val="20"/>
          <w:szCs w:val="20"/>
        </w:rPr>
        <w:t>INCOFARMA</w:t>
      </w:r>
    </w:p>
    <w:p w:rsidR="00B533C9" w:rsidRPr="00A45056" w:rsidRDefault="00F20356"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color w:val="000000" w:themeColor="text1"/>
          <w:sz w:val="20"/>
          <w:szCs w:val="20"/>
        </w:rPr>
        <w:t>5.2</w:t>
      </w:r>
      <w:r w:rsidR="008D49D5" w:rsidRPr="00A45056">
        <w:rPr>
          <w:rFonts w:ascii="Verdana" w:hAnsi="Verdana"/>
          <w:b/>
          <w:color w:val="000000" w:themeColor="text1"/>
          <w:sz w:val="20"/>
          <w:szCs w:val="20"/>
        </w:rPr>
        <w:t>.</w:t>
      </w:r>
      <w:r w:rsidR="008D49D5" w:rsidRPr="00A45056">
        <w:rPr>
          <w:rFonts w:ascii="Verdana" w:hAnsi="Verdana"/>
          <w:color w:val="000000" w:themeColor="text1"/>
          <w:sz w:val="20"/>
          <w:szCs w:val="20"/>
        </w:rPr>
        <w:t xml:space="preserve"> </w:t>
      </w:r>
      <w:r w:rsidR="00A960A6" w:rsidRPr="00A45056">
        <w:rPr>
          <w:rFonts w:ascii="Verdana" w:hAnsi="Verdana"/>
          <w:color w:val="000000" w:themeColor="text1"/>
          <w:sz w:val="20"/>
          <w:szCs w:val="20"/>
        </w:rPr>
        <w:t>Tanto premesso, la gestione a mezzo del CISS delle licenze farmaceutiche appare illegittimo sot</w:t>
      </w:r>
      <w:r w:rsidR="00B533C9" w:rsidRPr="00A45056">
        <w:rPr>
          <w:rFonts w:ascii="Verdana" w:hAnsi="Verdana"/>
          <w:color w:val="000000" w:themeColor="text1"/>
          <w:sz w:val="20"/>
          <w:szCs w:val="20"/>
        </w:rPr>
        <w:t>to altro profilo, che prescinde sul punto della discussa legittimità dell’originario accertamento.</w:t>
      </w:r>
      <w:r w:rsidR="00A960A6" w:rsidRPr="00A45056">
        <w:rPr>
          <w:rFonts w:ascii="Verdana" w:hAnsi="Verdana"/>
          <w:color w:val="000000" w:themeColor="text1"/>
          <w:sz w:val="20"/>
          <w:szCs w:val="20"/>
        </w:rPr>
        <w:t xml:space="preserve"> </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Viene in rilevo</w:t>
      </w:r>
      <w:r w:rsidR="00B10DBA">
        <w:rPr>
          <w:rFonts w:ascii="Verdana" w:hAnsi="Verdana"/>
          <w:color w:val="000000" w:themeColor="text1"/>
          <w:sz w:val="20"/>
          <w:szCs w:val="20"/>
        </w:rPr>
        <w:t>,</w:t>
      </w:r>
      <w:r w:rsidRPr="00A45056">
        <w:rPr>
          <w:rFonts w:ascii="Verdana" w:hAnsi="Verdana"/>
          <w:color w:val="000000" w:themeColor="text1"/>
          <w:sz w:val="20"/>
          <w:szCs w:val="20"/>
        </w:rPr>
        <w:t xml:space="preserve"> in particolare</w:t>
      </w:r>
      <w:r w:rsidR="00B10DBA">
        <w:rPr>
          <w:rFonts w:ascii="Verdana" w:hAnsi="Verdana"/>
          <w:color w:val="000000" w:themeColor="text1"/>
          <w:sz w:val="20"/>
          <w:szCs w:val="20"/>
        </w:rPr>
        <w:t>,</w:t>
      </w:r>
      <w:r w:rsidRPr="00A45056">
        <w:rPr>
          <w:rFonts w:ascii="Verdana" w:hAnsi="Verdana"/>
          <w:color w:val="000000" w:themeColor="text1"/>
          <w:sz w:val="20"/>
          <w:szCs w:val="20"/>
        </w:rPr>
        <w:t xml:space="preserve"> il meccanismo previsto dall’art. 3 dello Statuto del Consorzio che comporta l’affidamento diretto ad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della gestione di nuove sedi farmaceutiche attraverso la mera adesione al Consorzio da parte dei Comuni che ne siano divenuti titolari per effetto dell’esercizio del diritto di prelazione. </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Per effetto della citata clausola statutaria, le delibere di mera adesione al CISS da parte di nuovi comuni hanno determinato l’affidamento diretto ad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delle sedi </w:t>
      </w:r>
      <w:proofErr w:type="spellStart"/>
      <w:r w:rsidRPr="00A45056">
        <w:rPr>
          <w:rFonts w:ascii="Verdana" w:hAnsi="Verdana"/>
          <w:color w:val="000000" w:themeColor="text1"/>
          <w:sz w:val="20"/>
          <w:szCs w:val="20"/>
        </w:rPr>
        <w:t>prelazionate</w:t>
      </w:r>
      <w:proofErr w:type="spellEnd"/>
      <w:r w:rsidRPr="00A45056">
        <w:rPr>
          <w:rFonts w:ascii="Verdana" w:hAnsi="Verdana"/>
          <w:color w:val="000000" w:themeColor="text1"/>
          <w:sz w:val="20"/>
          <w:szCs w:val="20"/>
        </w:rPr>
        <w:t xml:space="preserve"> con la conseguenza di sottrarre al meccanismo concorsuale l'affidamento di nuove farmacie e di impedire una qualunque forma </w:t>
      </w:r>
      <w:r w:rsidR="00B10DBA">
        <w:rPr>
          <w:rFonts w:ascii="Verdana" w:hAnsi="Verdana"/>
          <w:color w:val="000000" w:themeColor="text1"/>
          <w:sz w:val="20"/>
          <w:szCs w:val="20"/>
        </w:rPr>
        <w:t xml:space="preserve">di </w:t>
      </w:r>
      <w:r w:rsidRPr="00A45056">
        <w:rPr>
          <w:rFonts w:ascii="Verdana" w:hAnsi="Verdana"/>
          <w:color w:val="000000" w:themeColor="text1"/>
          <w:sz w:val="20"/>
          <w:szCs w:val="20"/>
        </w:rPr>
        <w:t xml:space="preserve">concorrenza per il mercato, per tutta la durata, trentennale, del sodalizio con il socio privato (ai sensi dell’art. 3 dell’atto costitutivo di </w:t>
      </w:r>
      <w:r w:rsidR="003B4079">
        <w:rPr>
          <w:rFonts w:ascii="Verdana" w:hAnsi="Verdana"/>
          <w:color w:val="000000" w:themeColor="text1"/>
          <w:sz w:val="20"/>
          <w:szCs w:val="20"/>
        </w:rPr>
        <w:t>INCOFARMA</w:t>
      </w:r>
      <w:r w:rsidRPr="00A45056">
        <w:rPr>
          <w:rFonts w:ascii="Verdana" w:hAnsi="Verdana"/>
          <w:color w:val="000000" w:themeColor="text1"/>
          <w:sz w:val="20"/>
          <w:szCs w:val="20"/>
        </w:rPr>
        <w:t>, infatti, la durata della società è fissata fino al 31 dicembre 2034).</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Nella fattispecie, il confronto competitivo si è infatti limitato al momento della selezione del socio privato di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S.p.A.; tuttavia, l’espletamento “una tantum” della gara diretta alla scelta del socio privato (</w:t>
      </w:r>
      <w:r w:rsidR="003B4079">
        <w:rPr>
          <w:rFonts w:ascii="Verdana" w:hAnsi="Verdana"/>
          <w:color w:val="000000" w:themeColor="text1"/>
          <w:sz w:val="20"/>
          <w:szCs w:val="20"/>
        </w:rPr>
        <w:t>SOCIGESS</w:t>
      </w:r>
      <w:r w:rsidR="00BF5860" w:rsidRPr="00A45056">
        <w:rPr>
          <w:rFonts w:ascii="Verdana" w:hAnsi="Verdana"/>
          <w:color w:val="000000" w:themeColor="text1"/>
          <w:sz w:val="20"/>
          <w:szCs w:val="20"/>
        </w:rPr>
        <w:t xml:space="preserve"> </w:t>
      </w:r>
      <w:r w:rsidRPr="00A45056">
        <w:rPr>
          <w:rFonts w:ascii="Verdana" w:hAnsi="Verdana"/>
          <w:color w:val="000000" w:themeColor="text1"/>
          <w:sz w:val="20"/>
          <w:szCs w:val="20"/>
        </w:rPr>
        <w:t>Spa) non legittima i successivi automatici conferimenti ad un operatore di mercato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della gestione delle </w:t>
      </w:r>
      <w:r w:rsidR="00011D1D" w:rsidRPr="00A45056">
        <w:rPr>
          <w:rFonts w:ascii="Verdana" w:hAnsi="Verdana"/>
          <w:color w:val="000000" w:themeColor="text1"/>
          <w:sz w:val="20"/>
          <w:szCs w:val="20"/>
        </w:rPr>
        <w:t>“</w:t>
      </w:r>
      <w:r w:rsidRPr="00A45056">
        <w:rPr>
          <w:rFonts w:ascii="Verdana" w:hAnsi="Verdana"/>
          <w:color w:val="000000" w:themeColor="text1"/>
          <w:sz w:val="20"/>
          <w:szCs w:val="20"/>
        </w:rPr>
        <w:t>licenze</w:t>
      </w:r>
      <w:r w:rsidR="00011D1D" w:rsidRPr="00A45056">
        <w:rPr>
          <w:rFonts w:ascii="Verdana" w:hAnsi="Verdana"/>
          <w:color w:val="000000" w:themeColor="text1"/>
          <w:sz w:val="20"/>
          <w:szCs w:val="20"/>
        </w:rPr>
        <w:t>”</w:t>
      </w:r>
      <w:r w:rsidRPr="00A45056">
        <w:rPr>
          <w:rFonts w:ascii="Verdana" w:hAnsi="Verdana"/>
          <w:color w:val="000000" w:themeColor="text1"/>
          <w:sz w:val="20"/>
          <w:szCs w:val="20"/>
        </w:rPr>
        <w:t xml:space="preserve"> di volta in volta </w:t>
      </w:r>
      <w:proofErr w:type="spellStart"/>
      <w:r w:rsidRPr="00A45056">
        <w:rPr>
          <w:rFonts w:ascii="Verdana" w:hAnsi="Verdana"/>
          <w:color w:val="000000" w:themeColor="text1"/>
          <w:sz w:val="20"/>
          <w:szCs w:val="20"/>
        </w:rPr>
        <w:t>prelazionate</w:t>
      </w:r>
      <w:proofErr w:type="spellEnd"/>
      <w:r w:rsidRPr="00A45056">
        <w:rPr>
          <w:rFonts w:ascii="Verdana" w:hAnsi="Verdana"/>
          <w:color w:val="000000" w:themeColor="text1"/>
          <w:sz w:val="20"/>
          <w:szCs w:val="20"/>
        </w:rPr>
        <w:t xml:space="preserve"> presso la Regione Campania dai Comuni consorziati.</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Invero, come sopra evidenziato, anche l’orientamento più permissivo che ammette l’esternalizzazione della gestione delle farmacie comunali (Consiglio di Stato, </w:t>
      </w:r>
      <w:proofErr w:type="spellStart"/>
      <w:r w:rsidRPr="00A45056">
        <w:rPr>
          <w:rFonts w:ascii="Verdana" w:hAnsi="Verdana"/>
          <w:color w:val="000000" w:themeColor="text1"/>
          <w:sz w:val="20"/>
          <w:szCs w:val="20"/>
        </w:rPr>
        <w:t>sent</w:t>
      </w:r>
      <w:proofErr w:type="spellEnd"/>
      <w:r w:rsidRPr="00A45056">
        <w:rPr>
          <w:rFonts w:ascii="Verdana" w:hAnsi="Verdana"/>
          <w:color w:val="000000" w:themeColor="text1"/>
          <w:sz w:val="20"/>
          <w:szCs w:val="20"/>
        </w:rPr>
        <w:t xml:space="preserve">. n. 5587/2014), richiede, com’è ovvio, il pieno rispetto dei principi comunitari di non discriminazione, di parità di trattamento e di trasparenza, con il conseguente obbligo di attuare procedure concorsuali che assicurino, nel caso di ricorso al mercato, affidamenti rispettosi del canone dell’imparzialità (Corte di Giustizia Ue 7 dicembre 2000, in causa C-324/98). In particolare, com’è noto, la giurisprudenza comunitaria limita la legittimità degli affidamenti diretti (cioè senza gara) alle sole ipotesi di affidamento a società </w:t>
      </w:r>
      <w:r w:rsidR="003F133A" w:rsidRPr="00A45056">
        <w:rPr>
          <w:rFonts w:ascii="Verdana" w:hAnsi="Verdana"/>
          <w:i/>
          <w:color w:val="000000" w:themeColor="text1"/>
          <w:sz w:val="20"/>
          <w:szCs w:val="20"/>
        </w:rPr>
        <w:t xml:space="preserve">in </w:t>
      </w:r>
      <w:proofErr w:type="spellStart"/>
      <w:r w:rsidRPr="00A45056">
        <w:rPr>
          <w:rFonts w:ascii="Verdana" w:hAnsi="Verdana"/>
          <w:i/>
          <w:color w:val="000000" w:themeColor="text1"/>
          <w:sz w:val="20"/>
          <w:szCs w:val="20"/>
        </w:rPr>
        <w:t>house</w:t>
      </w:r>
      <w:proofErr w:type="spellEnd"/>
      <w:r w:rsidRPr="00A45056">
        <w:rPr>
          <w:rFonts w:ascii="Verdana" w:hAnsi="Verdana"/>
          <w:color w:val="000000" w:themeColor="text1"/>
          <w:sz w:val="20"/>
          <w:szCs w:val="20"/>
        </w:rPr>
        <w:t>,</w:t>
      </w:r>
      <w:r w:rsidR="00C04035"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o a società miste nelle quali il socio privato sia selezionato con gara “a doppio oggetto”. </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In particolare, si osserva che, in via generale, la presenza nella compagine della società affidataria di soci privati la cui partecipazione possa </w:t>
      </w:r>
      <w:r w:rsidR="00180351" w:rsidRPr="00A45056">
        <w:rPr>
          <w:rFonts w:ascii="Verdana" w:hAnsi="Verdana"/>
          <w:color w:val="000000" w:themeColor="text1"/>
          <w:sz w:val="20"/>
          <w:szCs w:val="20"/>
        </w:rPr>
        <w:t>inc</w:t>
      </w:r>
      <w:r w:rsidR="00180351">
        <w:rPr>
          <w:rFonts w:ascii="Verdana" w:hAnsi="Verdana"/>
          <w:color w:val="000000" w:themeColor="text1"/>
          <w:sz w:val="20"/>
          <w:szCs w:val="20"/>
        </w:rPr>
        <w:t>i</w:t>
      </w:r>
      <w:r w:rsidR="00180351" w:rsidRPr="00A45056">
        <w:rPr>
          <w:rFonts w:ascii="Verdana" w:hAnsi="Verdana"/>
          <w:color w:val="000000" w:themeColor="text1"/>
          <w:sz w:val="20"/>
          <w:szCs w:val="20"/>
        </w:rPr>
        <w:t xml:space="preserve">dere </w:t>
      </w:r>
      <w:r w:rsidRPr="00A45056">
        <w:rPr>
          <w:rFonts w:ascii="Verdana" w:hAnsi="Verdana"/>
          <w:color w:val="000000" w:themeColor="text1"/>
          <w:sz w:val="20"/>
          <w:szCs w:val="20"/>
        </w:rPr>
        <w:t xml:space="preserve">in modo determinate sulla </w:t>
      </w:r>
      <w:proofErr w:type="spellStart"/>
      <w:r w:rsidRPr="004753CD">
        <w:rPr>
          <w:rFonts w:ascii="Verdana" w:hAnsi="Verdana"/>
          <w:i/>
          <w:color w:val="000000" w:themeColor="text1"/>
          <w:sz w:val="20"/>
          <w:szCs w:val="20"/>
        </w:rPr>
        <w:t>governance</w:t>
      </w:r>
      <w:proofErr w:type="spellEnd"/>
      <w:r w:rsidRPr="00A45056">
        <w:rPr>
          <w:rFonts w:ascii="Verdana" w:hAnsi="Verdana"/>
          <w:color w:val="000000" w:themeColor="text1"/>
          <w:sz w:val="20"/>
          <w:szCs w:val="20"/>
        </w:rPr>
        <w:t xml:space="preserve"> è senz’altro incompatibile con l’affidamento diretto del servizio, in quanto si individua </w:t>
      </w:r>
      <w:r w:rsidRPr="00A45056">
        <w:rPr>
          <w:rFonts w:ascii="Verdana" w:hAnsi="Verdana"/>
          <w:color w:val="000000" w:themeColor="text1"/>
          <w:sz w:val="20"/>
          <w:szCs w:val="20"/>
        </w:rPr>
        <w:lastRenderedPageBreak/>
        <w:t xml:space="preserve">in tal caso un’entità formalmente e sostanzialmente distinta dall’amministrazione aggiudicatrice, determinandosi una violazione di trasparenza, parità di trattamento e non discriminazione, giacché tale </w:t>
      </w:r>
      <w:r w:rsidR="00800C6D" w:rsidRPr="00A45056">
        <w:rPr>
          <w:rFonts w:ascii="Verdana" w:hAnsi="Verdana"/>
          <w:color w:val="000000" w:themeColor="text1"/>
          <w:sz w:val="20"/>
          <w:szCs w:val="20"/>
        </w:rPr>
        <w:t xml:space="preserve">opzione </w:t>
      </w:r>
      <w:r w:rsidRPr="00A45056">
        <w:rPr>
          <w:rFonts w:ascii="Verdana" w:hAnsi="Verdana"/>
          <w:color w:val="000000" w:themeColor="text1"/>
          <w:sz w:val="20"/>
          <w:szCs w:val="20"/>
        </w:rPr>
        <w:t>“esclude in ogni caso che tale amministrazione possa esercitare sulla detta società un controllo analogo a quello che essa esercita sui propri servizi" (</w:t>
      </w:r>
      <w:proofErr w:type="spellStart"/>
      <w:r w:rsidRPr="00A45056">
        <w:rPr>
          <w:rFonts w:ascii="Verdana" w:hAnsi="Verdana"/>
          <w:color w:val="000000" w:themeColor="text1"/>
          <w:sz w:val="20"/>
          <w:szCs w:val="20"/>
        </w:rPr>
        <w:t>sent</w:t>
      </w:r>
      <w:proofErr w:type="spellEnd"/>
      <w:r w:rsidRPr="00A45056">
        <w:rPr>
          <w:rFonts w:ascii="Verdana" w:hAnsi="Verdana"/>
          <w:color w:val="000000" w:themeColor="text1"/>
          <w:sz w:val="20"/>
          <w:szCs w:val="20"/>
        </w:rPr>
        <w:t xml:space="preserve">. 11.1.2005 in causa C-26/03, </w:t>
      </w:r>
      <w:proofErr w:type="spellStart"/>
      <w:r w:rsidRPr="00A45056">
        <w:rPr>
          <w:rFonts w:ascii="Verdana" w:hAnsi="Verdana"/>
          <w:color w:val="000000" w:themeColor="text1"/>
          <w:sz w:val="20"/>
          <w:szCs w:val="20"/>
        </w:rPr>
        <w:t>Stadt</w:t>
      </w:r>
      <w:proofErr w:type="spellEnd"/>
      <w:r w:rsidRPr="00A45056">
        <w:rPr>
          <w:rFonts w:ascii="Verdana" w:hAnsi="Verdana"/>
          <w:color w:val="000000" w:themeColor="text1"/>
          <w:sz w:val="20"/>
          <w:szCs w:val="20"/>
        </w:rPr>
        <w:t xml:space="preserve"> Halle e RPL </w:t>
      </w:r>
      <w:proofErr w:type="spellStart"/>
      <w:r w:rsidRPr="00A45056">
        <w:rPr>
          <w:rFonts w:ascii="Verdana" w:hAnsi="Verdana"/>
          <w:color w:val="000000" w:themeColor="text1"/>
          <w:sz w:val="20"/>
          <w:szCs w:val="20"/>
        </w:rPr>
        <w:t>Lochau</w:t>
      </w:r>
      <w:proofErr w:type="spellEnd"/>
      <w:r w:rsidRPr="00A45056">
        <w:rPr>
          <w:rFonts w:ascii="Verdana" w:hAnsi="Verdana"/>
          <w:color w:val="000000" w:themeColor="text1"/>
          <w:sz w:val="20"/>
          <w:szCs w:val="20"/>
        </w:rPr>
        <w:t>).</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Lungo la linea interpretativa seguita dalla Commissione Europea nella Comunicazione del 5 febbraio 2008 sull’applicazione del diritto comunitario degli appalti pubblici e delle concessioni ai partenariati pubblico-privati istituzionalizzati (PPPI), è stata tuttavia riconosciuta la legittimità dell’affidamento di un servizio pubblico a società a partecipazione mista pubblica-privata a condizione che la selezione del socio privato avvenga mediante procedure competitive ad evidenza pubblica che abbiano ad oggetto la qualità di socio e l’attribuzione di specifici compiti operativi connessi alla gestione del servizio (c.d. detta gara a “doppio oggetto” cfr. </w:t>
      </w:r>
      <w:r w:rsidRPr="00A45056">
        <w:rPr>
          <w:rFonts w:ascii="Verdana" w:hAnsi="Verdana"/>
          <w:i/>
          <w:color w:val="000000" w:themeColor="text1"/>
          <w:sz w:val="20"/>
          <w:szCs w:val="20"/>
        </w:rPr>
        <w:t xml:space="preserve">ex </w:t>
      </w:r>
      <w:proofErr w:type="spellStart"/>
      <w:r w:rsidRPr="00A45056">
        <w:rPr>
          <w:rFonts w:ascii="Verdana" w:hAnsi="Verdana"/>
          <w:i/>
          <w:color w:val="000000" w:themeColor="text1"/>
          <w:sz w:val="20"/>
          <w:szCs w:val="20"/>
        </w:rPr>
        <w:t>multiis</w:t>
      </w:r>
      <w:proofErr w:type="spellEnd"/>
      <w:r w:rsidRPr="00A45056">
        <w:rPr>
          <w:rFonts w:ascii="Verdana" w:hAnsi="Verdana"/>
          <w:color w:val="000000" w:themeColor="text1"/>
          <w:sz w:val="20"/>
          <w:szCs w:val="20"/>
        </w:rPr>
        <w:t>, Corte di Giustizia, causa C-196/08, sentenza 15 ottobre 2009</w:t>
      </w:r>
      <w:r w:rsidR="00620163"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e Ad. </w:t>
      </w:r>
      <w:proofErr w:type="spellStart"/>
      <w:r w:rsidRPr="00A45056">
        <w:rPr>
          <w:rFonts w:ascii="Verdana" w:hAnsi="Verdana"/>
          <w:color w:val="000000" w:themeColor="text1"/>
          <w:sz w:val="20"/>
          <w:szCs w:val="20"/>
        </w:rPr>
        <w:t>Plen</w:t>
      </w:r>
      <w:proofErr w:type="spellEnd"/>
      <w:r w:rsidRPr="00A45056">
        <w:rPr>
          <w:rFonts w:ascii="Verdana" w:hAnsi="Verdana"/>
          <w:color w:val="000000" w:themeColor="text1"/>
          <w:sz w:val="20"/>
          <w:szCs w:val="20"/>
        </w:rPr>
        <w:t xml:space="preserve"> n. 1/2008).</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Tuttavia, perché la selezione del socio privato possa considerarsi rispettosa della concorrenza deve </w:t>
      </w:r>
      <w:r w:rsidR="00800C6D" w:rsidRPr="00A45056">
        <w:rPr>
          <w:rFonts w:ascii="Verdana" w:hAnsi="Verdana"/>
          <w:color w:val="000000" w:themeColor="text1"/>
          <w:sz w:val="20"/>
          <w:szCs w:val="20"/>
        </w:rPr>
        <w:t xml:space="preserve">avvenire ad </w:t>
      </w:r>
      <w:r w:rsidRPr="00A45056">
        <w:rPr>
          <w:rFonts w:ascii="Verdana" w:hAnsi="Verdana"/>
          <w:color w:val="000000" w:themeColor="text1"/>
          <w:sz w:val="20"/>
          <w:szCs w:val="20"/>
        </w:rPr>
        <w:t xml:space="preserve">alcune condizioni ulteriori: </w:t>
      </w:r>
    </w:p>
    <w:p w:rsidR="008D49D5" w:rsidRPr="00A45056" w:rsidRDefault="008D49D5" w:rsidP="008D49D5">
      <w:pPr>
        <w:numPr>
          <w:ilvl w:val="0"/>
          <w:numId w:val="40"/>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l’oggetto</w:t>
      </w:r>
      <w:proofErr w:type="gramEnd"/>
      <w:r w:rsidRPr="00A45056">
        <w:rPr>
          <w:rFonts w:ascii="Verdana" w:hAnsi="Verdana"/>
          <w:color w:val="000000" w:themeColor="text1"/>
          <w:sz w:val="20"/>
          <w:szCs w:val="20"/>
        </w:rPr>
        <w:t xml:space="preserve"> deve essere definito e determinato dal punto di vi</w:t>
      </w:r>
      <w:r w:rsidR="00800C6D" w:rsidRPr="00A45056">
        <w:rPr>
          <w:rFonts w:ascii="Verdana" w:hAnsi="Verdana"/>
          <w:color w:val="000000" w:themeColor="text1"/>
          <w:sz w:val="20"/>
          <w:szCs w:val="20"/>
        </w:rPr>
        <w:t>s</w:t>
      </w:r>
      <w:r w:rsidRPr="00A45056">
        <w:rPr>
          <w:rFonts w:ascii="Verdana" w:hAnsi="Verdana"/>
          <w:color w:val="000000" w:themeColor="text1"/>
          <w:sz w:val="20"/>
          <w:szCs w:val="20"/>
        </w:rPr>
        <w:t xml:space="preserve">ta </w:t>
      </w:r>
      <w:r w:rsidR="00800C6D" w:rsidRPr="00A45056">
        <w:rPr>
          <w:rFonts w:ascii="Verdana" w:hAnsi="Verdana"/>
          <w:color w:val="000000" w:themeColor="text1"/>
          <w:sz w:val="20"/>
          <w:szCs w:val="20"/>
        </w:rPr>
        <w:t xml:space="preserve">sia </w:t>
      </w:r>
      <w:r w:rsidRPr="00A45056">
        <w:rPr>
          <w:rFonts w:ascii="Verdana" w:hAnsi="Verdana"/>
          <w:color w:val="000000" w:themeColor="text1"/>
          <w:sz w:val="20"/>
          <w:szCs w:val="20"/>
        </w:rPr>
        <w:t xml:space="preserve">quantitativo </w:t>
      </w:r>
      <w:r w:rsidR="00800C6D" w:rsidRPr="00A45056">
        <w:rPr>
          <w:rFonts w:ascii="Verdana" w:hAnsi="Verdana"/>
          <w:color w:val="000000" w:themeColor="text1"/>
          <w:sz w:val="20"/>
          <w:szCs w:val="20"/>
        </w:rPr>
        <w:t xml:space="preserve">che  </w:t>
      </w:r>
      <w:r w:rsidRPr="00A45056">
        <w:rPr>
          <w:rFonts w:ascii="Verdana" w:hAnsi="Verdana"/>
          <w:color w:val="000000" w:themeColor="text1"/>
          <w:sz w:val="20"/>
          <w:szCs w:val="20"/>
        </w:rPr>
        <w:t xml:space="preserve">qualitativo, mentre ogni affidamento ulteriore rispetto a quanto previsto nell’originaria procedura ad evidenza pubblica deve essere oggetto di una nuova procedura di gara. La società mista, infatti, opera nei limiti dell’affidamento iniziale e non può ottenere senza gara ulteriori missioni che non siano già previste nel bando originario, non potendosi considerare ammissibile una società mista «aperta», cui affidare, in via diretta, dopo la sua costituzione, un numero indeterminato di servizi pubblici (cfr. </w:t>
      </w:r>
      <w:proofErr w:type="spellStart"/>
      <w:r w:rsidRPr="00A45056">
        <w:rPr>
          <w:rFonts w:ascii="Verdana" w:hAnsi="Verdana"/>
          <w:color w:val="000000" w:themeColor="text1"/>
          <w:sz w:val="20"/>
          <w:szCs w:val="20"/>
        </w:rPr>
        <w:t>Cons</w:t>
      </w:r>
      <w:proofErr w:type="spellEnd"/>
      <w:r w:rsidRPr="00A45056">
        <w:rPr>
          <w:rFonts w:ascii="Verdana" w:hAnsi="Verdana"/>
          <w:color w:val="000000" w:themeColor="text1"/>
          <w:sz w:val="20"/>
          <w:szCs w:val="20"/>
        </w:rPr>
        <w:t xml:space="preserve">. Stato, Sezione V, 13 febbraio 2009, n. 824, </w:t>
      </w:r>
      <w:proofErr w:type="spellStart"/>
      <w:r w:rsidRPr="00A45056">
        <w:rPr>
          <w:rFonts w:ascii="Verdana" w:hAnsi="Verdana"/>
          <w:color w:val="000000" w:themeColor="text1"/>
          <w:sz w:val="20"/>
          <w:szCs w:val="20"/>
        </w:rPr>
        <w:t>Cons</w:t>
      </w:r>
      <w:proofErr w:type="spellEnd"/>
      <w:r w:rsidRPr="00A45056">
        <w:rPr>
          <w:rFonts w:ascii="Verdana" w:hAnsi="Verdana"/>
          <w:color w:val="000000" w:themeColor="text1"/>
          <w:sz w:val="20"/>
          <w:szCs w:val="20"/>
        </w:rPr>
        <w:t>. Stato, Sezione VI, 23 settembre 2008, n. 4603).</w:t>
      </w:r>
    </w:p>
    <w:p w:rsidR="008D49D5" w:rsidRPr="00A45056" w:rsidRDefault="008D49D5" w:rsidP="008D49D5">
      <w:pPr>
        <w:numPr>
          <w:ilvl w:val="0"/>
          <w:numId w:val="40"/>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per</w:t>
      </w:r>
      <w:proofErr w:type="gramEnd"/>
      <w:r w:rsidRPr="00A45056">
        <w:rPr>
          <w:rFonts w:ascii="Verdana" w:hAnsi="Verdana"/>
          <w:color w:val="000000" w:themeColor="text1"/>
          <w:sz w:val="20"/>
          <w:szCs w:val="20"/>
        </w:rPr>
        <w:t xml:space="preserve"> analoghe ragioni l’oggetto della gara deve aver</w:t>
      </w:r>
      <w:r w:rsidR="007C58FF" w:rsidRPr="00A45056">
        <w:rPr>
          <w:rFonts w:ascii="Verdana" w:hAnsi="Verdana"/>
          <w:color w:val="000000" w:themeColor="text1"/>
          <w:sz w:val="20"/>
          <w:szCs w:val="20"/>
        </w:rPr>
        <w:t xml:space="preserve">e una precisa durata temporale </w:t>
      </w:r>
      <w:r w:rsidRPr="00A45056">
        <w:rPr>
          <w:rFonts w:ascii="Verdana" w:hAnsi="Verdana"/>
          <w:color w:val="000000" w:themeColor="text1"/>
          <w:sz w:val="20"/>
          <w:szCs w:val="20"/>
        </w:rPr>
        <w:t xml:space="preserve">(Consiglio di Stato, sez. V, 30 settembre 2010, n. 7214). </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D’altro canto, una precisa definizione qualitativa, quantitativa e temporale del servizio messo a gara appare strumentale al corretto dispiegamento della concorrenza in sede di scelta del socio operativo, in quanto rilevante ai fini della verifica “dei requisiti finanziari, tecnici, operativi e di gestione riferiti al servizio da svolgere e delle caratteristiche dell’offerta in considerazione delle prestazioni da fornire” (Corte di Giustizia, causa C-196/08, sentenza 15 ottobre 2009). </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Nel caso in esame, in ossequio ai citati principi, la società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avrebbe potuto operare solamente nei limiti dell’affidamento iniziale, cioè per la gestione delle sedi farmaceutiche </w:t>
      </w:r>
      <w:proofErr w:type="spellStart"/>
      <w:r w:rsidRPr="00A45056">
        <w:rPr>
          <w:rFonts w:ascii="Verdana" w:hAnsi="Verdana"/>
          <w:color w:val="000000" w:themeColor="text1"/>
          <w:sz w:val="20"/>
          <w:szCs w:val="20"/>
        </w:rPr>
        <w:t>prelazionate</w:t>
      </w:r>
      <w:proofErr w:type="spellEnd"/>
      <w:r w:rsidRPr="00A45056">
        <w:rPr>
          <w:rFonts w:ascii="Verdana" w:hAnsi="Verdana"/>
          <w:color w:val="000000" w:themeColor="text1"/>
          <w:sz w:val="20"/>
          <w:szCs w:val="20"/>
        </w:rPr>
        <w:t xml:space="preserve"> dai comuni che già aderivano al CISS al momento della costituzione della società, mentre i successivi conferimenti di sedi farmaceutiche sono </w:t>
      </w:r>
      <w:r w:rsidR="00800C6D" w:rsidRPr="00A45056">
        <w:rPr>
          <w:rFonts w:ascii="Verdana" w:hAnsi="Verdana"/>
          <w:color w:val="000000" w:themeColor="text1"/>
          <w:sz w:val="20"/>
          <w:szCs w:val="20"/>
        </w:rPr>
        <w:t xml:space="preserve">avvenuti </w:t>
      </w:r>
      <w:r w:rsidRPr="00A45056">
        <w:rPr>
          <w:rFonts w:ascii="Verdana" w:hAnsi="Verdana"/>
          <w:color w:val="000000" w:themeColor="text1"/>
          <w:sz w:val="20"/>
          <w:szCs w:val="20"/>
        </w:rPr>
        <w:t xml:space="preserve">di fatto in assenza </w:t>
      </w:r>
      <w:r w:rsidR="00800C6D" w:rsidRPr="00A45056">
        <w:rPr>
          <w:rFonts w:ascii="Verdana" w:hAnsi="Verdana"/>
          <w:color w:val="000000" w:themeColor="text1"/>
          <w:sz w:val="20"/>
          <w:szCs w:val="20"/>
        </w:rPr>
        <w:t xml:space="preserve">di </w:t>
      </w:r>
      <w:r w:rsidRPr="00A45056">
        <w:rPr>
          <w:rFonts w:ascii="Verdana" w:hAnsi="Verdana"/>
          <w:color w:val="000000" w:themeColor="text1"/>
          <w:sz w:val="20"/>
          <w:szCs w:val="20"/>
        </w:rPr>
        <w:t xml:space="preserve">selezione competitiva, con un affidamento diretto determinando, </w:t>
      </w:r>
      <w:r w:rsidR="00800C6D" w:rsidRPr="00A45056">
        <w:rPr>
          <w:rFonts w:ascii="Verdana" w:hAnsi="Verdana"/>
          <w:color w:val="000000" w:themeColor="text1"/>
          <w:sz w:val="20"/>
          <w:szCs w:val="20"/>
        </w:rPr>
        <w:t>dunque, in concreto</w:t>
      </w:r>
      <w:r w:rsidRPr="00A45056">
        <w:rPr>
          <w:rFonts w:ascii="Verdana" w:hAnsi="Verdana"/>
          <w:color w:val="000000" w:themeColor="text1"/>
          <w:sz w:val="20"/>
          <w:szCs w:val="20"/>
        </w:rPr>
        <w:t xml:space="preserve">, il rastrellamento e la concentrazione delle </w:t>
      </w:r>
      <w:r w:rsidR="008753AC" w:rsidRPr="00A45056">
        <w:rPr>
          <w:rFonts w:ascii="Verdana" w:hAnsi="Verdana"/>
          <w:color w:val="000000" w:themeColor="text1"/>
          <w:sz w:val="20"/>
          <w:szCs w:val="20"/>
        </w:rPr>
        <w:t>“</w:t>
      </w:r>
      <w:r w:rsidRPr="00A45056">
        <w:rPr>
          <w:rFonts w:ascii="Verdana" w:hAnsi="Verdana"/>
          <w:color w:val="000000" w:themeColor="text1"/>
          <w:sz w:val="20"/>
          <w:szCs w:val="20"/>
        </w:rPr>
        <w:t>licenze</w:t>
      </w:r>
      <w:r w:rsidR="008753AC" w:rsidRPr="00A45056">
        <w:rPr>
          <w:rFonts w:ascii="Verdana" w:hAnsi="Verdana"/>
          <w:color w:val="000000" w:themeColor="text1"/>
          <w:sz w:val="20"/>
          <w:szCs w:val="20"/>
        </w:rPr>
        <w:t>”</w:t>
      </w:r>
      <w:r w:rsidRPr="00A45056">
        <w:rPr>
          <w:rFonts w:ascii="Verdana" w:hAnsi="Verdana"/>
          <w:color w:val="000000" w:themeColor="text1"/>
          <w:sz w:val="20"/>
          <w:szCs w:val="20"/>
        </w:rPr>
        <w:t xml:space="preserve"> presso un solo soggetto privato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con danno alla concorrenza e, indirettamente, con un potenziale danno alle finanze dei comuni interessati. </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lastRenderedPageBreak/>
        <w:t>Infatti, il Consiglio di Stato</w:t>
      </w:r>
      <w:r w:rsidR="00800C6D" w:rsidRPr="00A45056">
        <w:rPr>
          <w:rFonts w:ascii="Verdana" w:hAnsi="Verdana"/>
          <w:color w:val="000000" w:themeColor="text1"/>
          <w:sz w:val="20"/>
          <w:szCs w:val="20"/>
        </w:rPr>
        <w:t xml:space="preserve"> (</w:t>
      </w:r>
      <w:r w:rsidR="00800C6D" w:rsidRPr="00A45056">
        <w:rPr>
          <w:rFonts w:ascii="Verdana" w:hAnsi="Verdana"/>
          <w:iCs/>
          <w:color w:val="000000" w:themeColor="text1"/>
          <w:sz w:val="20"/>
          <w:szCs w:val="20"/>
        </w:rPr>
        <w:t>Sez. III, sentenza del 13 novembre 2014, n. 5587</w:t>
      </w:r>
      <w:r w:rsidR="00800C6D" w:rsidRPr="00A45056">
        <w:rPr>
          <w:rFonts w:ascii="Verdana" w:hAnsi="Verdana"/>
          <w:color w:val="000000" w:themeColor="text1"/>
          <w:sz w:val="20"/>
          <w:szCs w:val="20"/>
        </w:rPr>
        <w:t>),</w:t>
      </w:r>
      <w:r w:rsidRPr="00A45056">
        <w:rPr>
          <w:rFonts w:ascii="Verdana" w:hAnsi="Verdana"/>
          <w:color w:val="000000" w:themeColor="text1"/>
          <w:sz w:val="20"/>
          <w:szCs w:val="20"/>
        </w:rPr>
        <w:t xml:space="preserve"> pur pronunciandosi a favore dell’ammissibilità </w:t>
      </w:r>
      <w:r w:rsidR="00800C6D" w:rsidRPr="00A45056">
        <w:rPr>
          <w:rFonts w:ascii="Verdana" w:hAnsi="Verdana"/>
          <w:color w:val="000000" w:themeColor="text1"/>
          <w:sz w:val="20"/>
          <w:szCs w:val="20"/>
        </w:rPr>
        <w:t xml:space="preserve">di </w:t>
      </w:r>
      <w:r w:rsidRPr="00A45056">
        <w:rPr>
          <w:rFonts w:ascii="Verdana" w:hAnsi="Verdana"/>
          <w:color w:val="000000" w:themeColor="text1"/>
          <w:sz w:val="20"/>
          <w:szCs w:val="20"/>
        </w:rPr>
        <w:t xml:space="preserve">forme di gestione alternative a quelle individuate dalla legge Mariotti, ha enucleato limiti e condizioni assai </w:t>
      </w:r>
      <w:r w:rsidR="00800C6D" w:rsidRPr="00A45056">
        <w:rPr>
          <w:rFonts w:ascii="Verdana" w:hAnsi="Verdana"/>
          <w:color w:val="000000" w:themeColor="text1"/>
          <w:sz w:val="20"/>
          <w:szCs w:val="20"/>
        </w:rPr>
        <w:t xml:space="preserve">precisi </w:t>
      </w:r>
      <w:r w:rsidRPr="00A45056">
        <w:rPr>
          <w:rFonts w:ascii="Verdana" w:hAnsi="Verdana"/>
          <w:color w:val="000000" w:themeColor="text1"/>
          <w:sz w:val="20"/>
          <w:szCs w:val="20"/>
        </w:rPr>
        <w:t>all’affidamento diretto evidenzia</w:t>
      </w:r>
      <w:r w:rsidR="00800C6D" w:rsidRPr="00A45056">
        <w:rPr>
          <w:rFonts w:ascii="Verdana" w:hAnsi="Verdana"/>
          <w:color w:val="000000" w:themeColor="text1"/>
          <w:sz w:val="20"/>
          <w:szCs w:val="20"/>
        </w:rPr>
        <w:t>nd</w:t>
      </w:r>
      <w:r w:rsidRPr="00A45056">
        <w:rPr>
          <w:rFonts w:ascii="Verdana" w:hAnsi="Verdana"/>
          <w:color w:val="000000" w:themeColor="text1"/>
          <w:sz w:val="20"/>
          <w:szCs w:val="20"/>
        </w:rPr>
        <w:t xml:space="preserve">o aspetti di estrema rilevanza. Segnatamente: </w:t>
      </w:r>
    </w:p>
    <w:p w:rsidR="008D49D5" w:rsidRPr="00A45056" w:rsidRDefault="008D49D5" w:rsidP="008D49D5">
      <w:pPr>
        <w:numPr>
          <w:ilvl w:val="0"/>
          <w:numId w:val="42"/>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il</w:t>
      </w:r>
      <w:proofErr w:type="gramEnd"/>
      <w:r w:rsidRPr="00A45056">
        <w:rPr>
          <w:rFonts w:ascii="Verdana" w:hAnsi="Verdana"/>
          <w:color w:val="000000" w:themeColor="text1"/>
          <w:sz w:val="20"/>
          <w:szCs w:val="20"/>
        </w:rPr>
        <w:t xml:space="preserve"> servizio pubblico farmaceutico deve essere svolto in modo che siano garantiti gli obiettivi di rilevanza sociale che ne giustificano l'istituzione;</w:t>
      </w:r>
    </w:p>
    <w:p w:rsidR="008D49D5" w:rsidRPr="00A45056" w:rsidRDefault="008D49D5" w:rsidP="008D49D5">
      <w:pPr>
        <w:numPr>
          <w:ilvl w:val="0"/>
          <w:numId w:val="42"/>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è</w:t>
      </w:r>
      <w:proofErr w:type="gramEnd"/>
      <w:r w:rsidRPr="00A45056">
        <w:rPr>
          <w:rFonts w:ascii="Verdana" w:hAnsi="Verdana"/>
          <w:color w:val="000000" w:themeColor="text1"/>
          <w:sz w:val="20"/>
          <w:szCs w:val="20"/>
        </w:rPr>
        <w:t xml:space="preserve"> illegittimo l’affidamento a terzi della gestione di una nuova farmacia comunale attraverso l'istituto </w:t>
      </w:r>
      <w:r w:rsidRPr="00A45056">
        <w:rPr>
          <w:rFonts w:ascii="Verdana" w:hAnsi="Verdana"/>
          <w:color w:val="000000" w:themeColor="text1"/>
          <w:sz w:val="20"/>
          <w:szCs w:val="20"/>
          <w:u w:val="single"/>
        </w:rPr>
        <w:t xml:space="preserve">dell'accordo/convenzione tra enti </w:t>
      </w:r>
      <w:r w:rsidRPr="00A45056">
        <w:rPr>
          <w:rFonts w:ascii="Verdana" w:hAnsi="Verdana"/>
          <w:color w:val="000000" w:themeColor="text1"/>
          <w:sz w:val="20"/>
          <w:szCs w:val="20"/>
        </w:rPr>
        <w:t>(di cui all'art. 30 del D.lgs. n. 267 del 2000), in assenza di un confronto concorrenziale e di una valutazione comparativa delle possibili offerte degli altri operatori del mercato;</w:t>
      </w:r>
    </w:p>
    <w:p w:rsidR="008D49D5" w:rsidRPr="00A45056" w:rsidRDefault="008D49D5" w:rsidP="008D49D5">
      <w:pPr>
        <w:numPr>
          <w:ilvl w:val="0"/>
          <w:numId w:val="42"/>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l’affidamento</w:t>
      </w:r>
      <w:proofErr w:type="gramEnd"/>
      <w:r w:rsidRPr="00A45056">
        <w:rPr>
          <w:rFonts w:ascii="Verdana" w:hAnsi="Verdana"/>
          <w:color w:val="000000" w:themeColor="text1"/>
          <w:sz w:val="20"/>
          <w:szCs w:val="20"/>
        </w:rPr>
        <w:t xml:space="preserve"> diretto può essere fatto solo in presenza di un “controllo analogo” sull’azienda affidataria. </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Gli affidamenti successivi allo svolgimento della gara per la scelta del socio di maggioranza e, dunque, alla costituzione della Società mista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non sono, invece, conformi ai soprarichiamati principi, in quanto, come da ultimo evidenziato dalla stessa Autorità garante della concorrenza e del mercato (AGCM, AS 1261 del 5 febbraio 2016), realizzano di fatto un affidamento diretto del servizio di gestione delle farmacie comunali, aggirando </w:t>
      </w:r>
      <w:r w:rsidR="00800C6D" w:rsidRPr="00A45056">
        <w:rPr>
          <w:rFonts w:ascii="Verdana" w:hAnsi="Verdana"/>
          <w:color w:val="000000" w:themeColor="text1"/>
          <w:sz w:val="20"/>
          <w:szCs w:val="20"/>
        </w:rPr>
        <w:t>così</w:t>
      </w:r>
      <w:r w:rsidRPr="00A45056">
        <w:rPr>
          <w:rFonts w:ascii="Verdana" w:hAnsi="Verdana"/>
          <w:color w:val="000000" w:themeColor="text1"/>
          <w:sz w:val="20"/>
          <w:szCs w:val="20"/>
        </w:rPr>
        <w:t xml:space="preserve"> la normativa italiana e comunitaria sull'affidamento </w:t>
      </w:r>
      <w:r w:rsidRPr="00A45056">
        <w:rPr>
          <w:rFonts w:ascii="Verdana" w:hAnsi="Verdana"/>
          <w:i/>
          <w:color w:val="000000" w:themeColor="text1"/>
          <w:sz w:val="20"/>
          <w:szCs w:val="20"/>
        </w:rPr>
        <w:t xml:space="preserve">in </w:t>
      </w:r>
      <w:proofErr w:type="spellStart"/>
      <w:r w:rsidRPr="00A45056">
        <w:rPr>
          <w:rFonts w:ascii="Verdana" w:hAnsi="Verdana"/>
          <w:i/>
          <w:color w:val="000000" w:themeColor="text1"/>
          <w:sz w:val="20"/>
          <w:szCs w:val="20"/>
        </w:rPr>
        <w:t>house</w:t>
      </w:r>
      <w:proofErr w:type="spellEnd"/>
      <w:r w:rsidRPr="00A45056">
        <w:rPr>
          <w:rFonts w:ascii="Verdana" w:hAnsi="Verdana"/>
          <w:color w:val="000000" w:themeColor="text1"/>
          <w:sz w:val="20"/>
          <w:szCs w:val="20"/>
        </w:rPr>
        <w:t>.</w:t>
      </w:r>
    </w:p>
    <w:p w:rsidR="0004073E" w:rsidRPr="00A45056" w:rsidRDefault="00372591" w:rsidP="00DC03AF">
      <w:pPr>
        <w:shd w:val="clear" w:color="auto" w:fill="FEFFFF"/>
        <w:spacing w:line="360" w:lineRule="auto"/>
        <w:ind w:firstLine="708"/>
        <w:jc w:val="both"/>
        <w:rPr>
          <w:rFonts w:ascii="Verdana" w:hAnsi="Verdana"/>
          <w:bCs/>
          <w:color w:val="000000" w:themeColor="text1"/>
          <w:sz w:val="20"/>
          <w:szCs w:val="20"/>
          <w:u w:val="single"/>
        </w:rPr>
      </w:pPr>
      <w:r w:rsidRPr="00A45056">
        <w:rPr>
          <w:rFonts w:ascii="Verdana" w:hAnsi="Verdana"/>
          <w:bCs/>
          <w:color w:val="000000" w:themeColor="text1"/>
          <w:sz w:val="20"/>
          <w:szCs w:val="20"/>
          <w:u w:val="single"/>
        </w:rPr>
        <w:t>In proposito si rammenta che ai sensi dell’art. 1 dello Statuto del CISS: «Al Consorzio possono aderire, su loro espressa richiesta, altri Comuni senza limiti numerici e senza limitazioni territoriali; l'ades</w:t>
      </w:r>
      <w:r w:rsidR="00DC03AF" w:rsidRPr="00A45056">
        <w:rPr>
          <w:rFonts w:ascii="Verdana" w:hAnsi="Verdana"/>
          <w:bCs/>
          <w:color w:val="000000" w:themeColor="text1"/>
          <w:sz w:val="20"/>
          <w:szCs w:val="20"/>
          <w:u w:val="single"/>
        </w:rPr>
        <w:t>ione deve essere approvata dall’</w:t>
      </w:r>
      <w:r w:rsidRPr="00A45056">
        <w:rPr>
          <w:rFonts w:ascii="Verdana" w:hAnsi="Verdana"/>
          <w:bCs/>
          <w:color w:val="000000" w:themeColor="text1"/>
          <w:sz w:val="20"/>
          <w:szCs w:val="20"/>
          <w:u w:val="single"/>
        </w:rPr>
        <w:t>Assemblea Consortile»; e che ai sensi dell’art. 3 «</w:t>
      </w:r>
      <w:r w:rsidR="00DC03AF" w:rsidRPr="00A45056">
        <w:rPr>
          <w:rFonts w:ascii="Verdana" w:hAnsi="Verdana"/>
          <w:bCs/>
          <w:color w:val="000000" w:themeColor="text1"/>
          <w:sz w:val="20"/>
          <w:szCs w:val="20"/>
          <w:u w:val="single"/>
        </w:rPr>
        <w:t>L'adesione di un Comune al Consorzio, se richiesta ed accettata dopo che il</w:t>
      </w:r>
      <w:r w:rsidR="000C383D" w:rsidRPr="00A45056">
        <w:rPr>
          <w:rFonts w:ascii="Verdana" w:hAnsi="Verdana"/>
          <w:bCs/>
          <w:color w:val="000000" w:themeColor="text1"/>
          <w:sz w:val="20"/>
          <w:szCs w:val="20"/>
          <w:u w:val="single"/>
        </w:rPr>
        <w:t xml:space="preserve"> </w:t>
      </w:r>
      <w:r w:rsidR="00DC03AF" w:rsidRPr="00A45056">
        <w:rPr>
          <w:rFonts w:ascii="Verdana" w:hAnsi="Verdana"/>
          <w:bCs/>
          <w:color w:val="000000" w:themeColor="text1"/>
          <w:sz w:val="20"/>
          <w:szCs w:val="20"/>
          <w:u w:val="single"/>
        </w:rPr>
        <w:t>Consorzio abbia già affidato a detti altri consorzi e/o a dette società pubbliche, miste</w:t>
      </w:r>
      <w:r w:rsidR="000C383D" w:rsidRPr="00A45056">
        <w:rPr>
          <w:rFonts w:ascii="Verdana" w:hAnsi="Verdana"/>
          <w:bCs/>
          <w:color w:val="000000" w:themeColor="text1"/>
          <w:sz w:val="20"/>
          <w:szCs w:val="20"/>
          <w:u w:val="single"/>
        </w:rPr>
        <w:t xml:space="preserve"> </w:t>
      </w:r>
      <w:r w:rsidR="00DC03AF" w:rsidRPr="00A45056">
        <w:rPr>
          <w:rFonts w:ascii="Verdana" w:hAnsi="Verdana"/>
          <w:bCs/>
          <w:color w:val="000000" w:themeColor="text1"/>
          <w:sz w:val="20"/>
          <w:szCs w:val="20"/>
          <w:u w:val="single"/>
        </w:rPr>
        <w:t>e/o private l'espletamento di tutte o parte delle attività rientranti nel suo scopo</w:t>
      </w:r>
      <w:r w:rsidR="000C383D" w:rsidRPr="00A45056">
        <w:rPr>
          <w:rFonts w:ascii="Verdana" w:hAnsi="Verdana"/>
          <w:bCs/>
          <w:color w:val="000000" w:themeColor="text1"/>
          <w:sz w:val="20"/>
          <w:szCs w:val="20"/>
          <w:u w:val="single"/>
        </w:rPr>
        <w:t xml:space="preserve"> </w:t>
      </w:r>
      <w:r w:rsidR="00DC03AF" w:rsidRPr="00A45056">
        <w:rPr>
          <w:rFonts w:ascii="Verdana" w:hAnsi="Verdana"/>
          <w:bCs/>
          <w:color w:val="000000" w:themeColor="text1"/>
          <w:sz w:val="20"/>
          <w:szCs w:val="20"/>
          <w:u w:val="single"/>
        </w:rPr>
        <w:t>sociale comporta per il Comune nuovo consorziato l'automatico trasferimento</w:t>
      </w:r>
      <w:r w:rsidR="000C383D" w:rsidRPr="00A45056">
        <w:rPr>
          <w:rFonts w:ascii="Verdana" w:hAnsi="Verdana"/>
          <w:bCs/>
          <w:color w:val="000000" w:themeColor="text1"/>
          <w:sz w:val="20"/>
          <w:szCs w:val="20"/>
          <w:u w:val="single"/>
        </w:rPr>
        <w:t xml:space="preserve"> </w:t>
      </w:r>
      <w:r w:rsidR="00DC03AF" w:rsidRPr="00A45056">
        <w:rPr>
          <w:rFonts w:ascii="Verdana" w:hAnsi="Verdana"/>
          <w:bCs/>
          <w:color w:val="000000" w:themeColor="text1"/>
          <w:sz w:val="20"/>
          <w:szCs w:val="20"/>
          <w:u w:val="single"/>
        </w:rPr>
        <w:t>all'indicato consorzio e/o alla medesima società degli stessi servizi già affidati a</w:t>
      </w:r>
      <w:r w:rsidR="000C383D" w:rsidRPr="00A45056">
        <w:rPr>
          <w:rFonts w:ascii="Verdana" w:hAnsi="Verdana"/>
          <w:bCs/>
          <w:color w:val="000000" w:themeColor="text1"/>
          <w:sz w:val="20"/>
          <w:szCs w:val="20"/>
          <w:u w:val="single"/>
        </w:rPr>
        <w:t xml:space="preserve"> </w:t>
      </w:r>
      <w:r w:rsidR="00DC03AF" w:rsidRPr="00A45056">
        <w:rPr>
          <w:rFonts w:ascii="Verdana" w:hAnsi="Verdana"/>
          <w:bCs/>
          <w:color w:val="000000" w:themeColor="text1"/>
          <w:sz w:val="20"/>
          <w:szCs w:val="20"/>
          <w:u w:val="single"/>
        </w:rPr>
        <w:t>loro dal consorzio, per quanto di sua competenza</w:t>
      </w:r>
      <w:r w:rsidR="000C383D" w:rsidRPr="00A45056">
        <w:rPr>
          <w:rFonts w:ascii="Verdana" w:hAnsi="Verdana"/>
          <w:bCs/>
          <w:color w:val="000000" w:themeColor="text1"/>
          <w:sz w:val="20"/>
          <w:szCs w:val="20"/>
          <w:u w:val="single"/>
        </w:rPr>
        <w:t>»</w:t>
      </w:r>
      <w:r w:rsidR="00DC03AF" w:rsidRPr="00A45056">
        <w:rPr>
          <w:rFonts w:ascii="Verdana" w:hAnsi="Verdana"/>
          <w:bCs/>
          <w:color w:val="000000" w:themeColor="text1"/>
          <w:sz w:val="20"/>
          <w:szCs w:val="20"/>
          <w:u w:val="single"/>
        </w:rPr>
        <w:t>.</w:t>
      </w:r>
    </w:p>
    <w:p w:rsidR="00824600" w:rsidRPr="00A45056" w:rsidRDefault="001A7017" w:rsidP="001A7017">
      <w:pPr>
        <w:shd w:val="clear" w:color="auto" w:fill="FEFFFF"/>
        <w:spacing w:line="360" w:lineRule="auto"/>
        <w:ind w:firstLine="708"/>
        <w:jc w:val="both"/>
        <w:rPr>
          <w:rFonts w:ascii="Verdana" w:hAnsi="Verdana"/>
          <w:bCs/>
          <w:color w:val="000000" w:themeColor="text1"/>
          <w:sz w:val="20"/>
          <w:szCs w:val="20"/>
        </w:rPr>
      </w:pPr>
      <w:r w:rsidRPr="00A45056">
        <w:rPr>
          <w:rFonts w:ascii="Verdana" w:hAnsi="Verdana"/>
          <w:bCs/>
          <w:color w:val="000000" w:themeColor="text1"/>
          <w:sz w:val="20"/>
          <w:szCs w:val="20"/>
          <w:u w:val="single"/>
        </w:rPr>
        <w:t>Si tratta, infatti, di conferimenti automatici di licenze che, per la potenziale apertura del consorzio a tutti i comuni interessati</w:t>
      </w:r>
      <w:r w:rsidR="00DC03AF" w:rsidRPr="00A45056">
        <w:rPr>
          <w:rFonts w:ascii="Verdana" w:hAnsi="Verdana"/>
          <w:bCs/>
          <w:color w:val="000000" w:themeColor="text1"/>
          <w:sz w:val="20"/>
          <w:szCs w:val="20"/>
          <w:u w:val="single"/>
        </w:rPr>
        <w:t>, senza limiti numerici e territoriali,</w:t>
      </w:r>
      <w:r w:rsidRPr="00A45056">
        <w:rPr>
          <w:rFonts w:ascii="Verdana" w:hAnsi="Verdana"/>
          <w:bCs/>
          <w:color w:val="000000" w:themeColor="text1"/>
          <w:sz w:val="20"/>
          <w:szCs w:val="20"/>
          <w:u w:val="single"/>
        </w:rPr>
        <w:t xml:space="preserve"> e </w:t>
      </w:r>
      <w:r w:rsidR="00180351">
        <w:rPr>
          <w:rFonts w:ascii="Verdana" w:hAnsi="Verdana"/>
          <w:bCs/>
          <w:color w:val="000000" w:themeColor="text1"/>
          <w:sz w:val="20"/>
          <w:szCs w:val="20"/>
          <w:u w:val="single"/>
        </w:rPr>
        <w:t xml:space="preserve">per </w:t>
      </w:r>
      <w:r w:rsidRPr="00A45056">
        <w:rPr>
          <w:rFonts w:ascii="Verdana" w:hAnsi="Verdana"/>
          <w:bCs/>
          <w:color w:val="000000" w:themeColor="text1"/>
          <w:sz w:val="20"/>
          <w:szCs w:val="20"/>
          <w:u w:val="single"/>
        </w:rPr>
        <w:t xml:space="preserve">il lungo lasso temporale di durata della società, rendono indeterminato l’oggetto del contratto pubblico originariamente stipulato col socio privato. </w:t>
      </w:r>
    </w:p>
    <w:p w:rsidR="008D49D5" w:rsidRPr="00A45056" w:rsidRDefault="008D49D5" w:rsidP="00824600">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La società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infatti, è un soggetto privato, su cui in comuni non hanno alcun controllo “analogo” in punto di </w:t>
      </w:r>
      <w:proofErr w:type="spellStart"/>
      <w:r w:rsidRPr="00A45056">
        <w:rPr>
          <w:rFonts w:ascii="Verdana" w:hAnsi="Verdana"/>
          <w:i/>
          <w:color w:val="000000" w:themeColor="text1"/>
          <w:sz w:val="20"/>
          <w:szCs w:val="20"/>
        </w:rPr>
        <w:t>governance</w:t>
      </w:r>
      <w:proofErr w:type="spellEnd"/>
      <w:r w:rsidRPr="00A45056">
        <w:rPr>
          <w:rFonts w:ascii="Verdana" w:hAnsi="Verdana"/>
          <w:color w:val="000000" w:themeColor="text1"/>
          <w:sz w:val="20"/>
          <w:szCs w:val="20"/>
        </w:rPr>
        <w:t xml:space="preserve">. </w:t>
      </w:r>
      <w:r w:rsidR="00800C6D" w:rsidRPr="00A45056">
        <w:rPr>
          <w:rFonts w:ascii="Verdana" w:hAnsi="Verdana"/>
          <w:color w:val="000000" w:themeColor="text1"/>
          <w:sz w:val="20"/>
          <w:szCs w:val="20"/>
        </w:rPr>
        <w:t xml:space="preserve">Ciò nonostante, le </w:t>
      </w:r>
      <w:r w:rsidRPr="00A45056">
        <w:rPr>
          <w:rFonts w:ascii="Verdana" w:hAnsi="Verdana"/>
          <w:color w:val="000000" w:themeColor="text1"/>
          <w:sz w:val="20"/>
          <w:szCs w:val="20"/>
        </w:rPr>
        <w:t xml:space="preserve">assegnazioni delle sedi farmaceutiche successive alla gara tenutesi al momento della sua costituzione sono intervenute senza un gara pubblica, con un affidamento diretto che </w:t>
      </w:r>
      <w:proofErr w:type="gramStart"/>
      <w:r w:rsidRPr="00A45056">
        <w:rPr>
          <w:rFonts w:ascii="Verdana" w:hAnsi="Verdana"/>
          <w:color w:val="000000" w:themeColor="text1"/>
          <w:sz w:val="20"/>
          <w:szCs w:val="20"/>
        </w:rPr>
        <w:t>si  realizza</w:t>
      </w:r>
      <w:proofErr w:type="gramEnd"/>
      <w:r w:rsidRPr="00A45056">
        <w:rPr>
          <w:rFonts w:ascii="Verdana" w:hAnsi="Verdana"/>
          <w:color w:val="000000" w:themeColor="text1"/>
          <w:sz w:val="20"/>
          <w:szCs w:val="20"/>
        </w:rPr>
        <w:t xml:space="preserve"> tramite il combinato disposto dell’adesione al consorzio e </w:t>
      </w:r>
      <w:r w:rsidR="00180351">
        <w:rPr>
          <w:rFonts w:ascii="Verdana" w:hAnsi="Verdana"/>
          <w:color w:val="000000" w:themeColor="text1"/>
          <w:sz w:val="20"/>
          <w:szCs w:val="20"/>
        </w:rPr>
        <w:t>del</w:t>
      </w:r>
      <w:r w:rsidRPr="00A45056">
        <w:rPr>
          <w:rFonts w:ascii="Verdana" w:hAnsi="Verdana"/>
          <w:color w:val="000000" w:themeColor="text1"/>
          <w:sz w:val="20"/>
          <w:szCs w:val="20"/>
        </w:rPr>
        <w:t>le prescrizioni dell’art. 3 del suo Statuto.</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La società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S.p.A., pertanto, per tali sedi farmaceutiche, è di fatto assegnataria diretta della concessione per l’erogazione </w:t>
      </w:r>
      <w:proofErr w:type="gramStart"/>
      <w:r w:rsidRPr="00A45056">
        <w:rPr>
          <w:rFonts w:ascii="Verdana" w:hAnsi="Verdana"/>
          <w:color w:val="000000" w:themeColor="text1"/>
          <w:sz w:val="20"/>
          <w:szCs w:val="20"/>
        </w:rPr>
        <w:t>del  servizio</w:t>
      </w:r>
      <w:proofErr w:type="gramEnd"/>
      <w:r w:rsidRPr="00A45056">
        <w:rPr>
          <w:rFonts w:ascii="Verdana" w:hAnsi="Verdana"/>
          <w:color w:val="000000" w:themeColor="text1"/>
          <w:sz w:val="20"/>
          <w:szCs w:val="20"/>
        </w:rPr>
        <w:t xml:space="preserve"> in questione</w:t>
      </w:r>
      <w:r w:rsidR="00BC7BA3" w:rsidRPr="00A45056">
        <w:rPr>
          <w:rFonts w:ascii="Verdana" w:hAnsi="Verdana"/>
          <w:color w:val="000000" w:themeColor="text1"/>
          <w:sz w:val="20"/>
          <w:szCs w:val="20"/>
        </w:rPr>
        <w:t>,</w:t>
      </w:r>
      <w:r w:rsidRPr="00A45056">
        <w:rPr>
          <w:rFonts w:ascii="Verdana" w:hAnsi="Verdana"/>
          <w:color w:val="000000" w:themeColor="text1"/>
          <w:sz w:val="20"/>
          <w:szCs w:val="20"/>
        </w:rPr>
        <w:t xml:space="preserve"> </w:t>
      </w:r>
      <w:r w:rsidRPr="00A45056">
        <w:rPr>
          <w:rFonts w:ascii="Verdana" w:hAnsi="Verdana"/>
          <w:color w:val="000000" w:themeColor="text1"/>
          <w:sz w:val="20"/>
          <w:szCs w:val="20"/>
          <w:u w:val="single"/>
        </w:rPr>
        <w:t>attraverso lo strumento</w:t>
      </w:r>
      <w:r w:rsidR="00BC7BA3" w:rsidRPr="00A45056">
        <w:rPr>
          <w:rFonts w:ascii="Verdana" w:hAnsi="Verdana"/>
          <w:color w:val="000000" w:themeColor="text1"/>
          <w:sz w:val="20"/>
          <w:szCs w:val="20"/>
          <w:u w:val="single"/>
        </w:rPr>
        <w:t xml:space="preserve"> del consorzio e del suo statuto</w:t>
      </w:r>
      <w:r w:rsidRPr="00A45056">
        <w:rPr>
          <w:rFonts w:ascii="Verdana" w:hAnsi="Verdana"/>
          <w:color w:val="000000" w:themeColor="text1"/>
          <w:sz w:val="20"/>
          <w:szCs w:val="20"/>
          <w:u w:val="single"/>
        </w:rPr>
        <w:t>, eludendo la disciplina sui contratti pubblici.</w:t>
      </w:r>
    </w:p>
    <w:p w:rsidR="008D49D5" w:rsidRPr="00A45056" w:rsidRDefault="008D49D5" w:rsidP="008D49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lastRenderedPageBreak/>
        <w:t xml:space="preserve">Ne consegue che costituiscono una violazione diretta dei principi comunitari e interni di concorrenza quantomeno </w:t>
      </w:r>
      <w:r w:rsidR="00B015F4" w:rsidRPr="00A45056">
        <w:rPr>
          <w:rFonts w:ascii="Verdana" w:hAnsi="Verdana"/>
          <w:color w:val="000000" w:themeColor="text1"/>
          <w:sz w:val="20"/>
          <w:szCs w:val="20"/>
        </w:rPr>
        <w:t xml:space="preserve">tutti </w:t>
      </w:r>
      <w:r w:rsidRPr="00A45056">
        <w:rPr>
          <w:rFonts w:ascii="Verdana" w:hAnsi="Verdana"/>
          <w:color w:val="000000" w:themeColor="text1"/>
          <w:sz w:val="20"/>
          <w:szCs w:val="20"/>
        </w:rPr>
        <w:t xml:space="preserve">i conferimenti di </w:t>
      </w:r>
      <w:r w:rsidR="008753AC" w:rsidRPr="00A45056">
        <w:rPr>
          <w:rFonts w:ascii="Verdana" w:hAnsi="Verdana"/>
          <w:color w:val="000000" w:themeColor="text1"/>
          <w:sz w:val="20"/>
          <w:szCs w:val="20"/>
        </w:rPr>
        <w:t>“</w:t>
      </w:r>
      <w:r w:rsidRPr="00A45056">
        <w:rPr>
          <w:rFonts w:ascii="Verdana" w:hAnsi="Verdana"/>
          <w:color w:val="000000" w:themeColor="text1"/>
          <w:sz w:val="20"/>
          <w:szCs w:val="20"/>
        </w:rPr>
        <w:t>licenze</w:t>
      </w:r>
      <w:r w:rsidR="008753AC" w:rsidRPr="00A45056">
        <w:rPr>
          <w:rFonts w:ascii="Verdana" w:hAnsi="Verdana"/>
          <w:color w:val="000000" w:themeColor="text1"/>
          <w:sz w:val="20"/>
          <w:szCs w:val="20"/>
        </w:rPr>
        <w:t>”</w:t>
      </w:r>
      <w:r w:rsidRPr="00A45056">
        <w:rPr>
          <w:rFonts w:ascii="Verdana" w:hAnsi="Verdana"/>
          <w:color w:val="000000" w:themeColor="text1"/>
          <w:sz w:val="20"/>
          <w:szCs w:val="20"/>
        </w:rPr>
        <w:t xml:space="preserve"> </w:t>
      </w:r>
      <w:r w:rsidR="00B015F4" w:rsidRPr="00A45056">
        <w:rPr>
          <w:rFonts w:ascii="Verdana" w:hAnsi="Verdana"/>
          <w:color w:val="000000" w:themeColor="text1"/>
          <w:sz w:val="20"/>
          <w:szCs w:val="20"/>
        </w:rPr>
        <w:t xml:space="preserve">avvenuti </w:t>
      </w:r>
      <w:r w:rsidRPr="00A45056">
        <w:rPr>
          <w:rFonts w:ascii="Verdana" w:hAnsi="Verdana"/>
          <w:color w:val="000000" w:themeColor="text1"/>
          <w:sz w:val="20"/>
          <w:szCs w:val="20"/>
        </w:rPr>
        <w:t xml:space="preserve">in modo automatico e successivo ai sensi dell’art. 3 dello Stato, in quanto la stessa clausola deve ritenersi </w:t>
      </w:r>
      <w:r w:rsidR="00B015F4" w:rsidRPr="00A45056">
        <w:rPr>
          <w:rFonts w:ascii="Verdana" w:hAnsi="Verdana"/>
          <w:color w:val="000000" w:themeColor="text1"/>
          <w:sz w:val="20"/>
          <w:szCs w:val="20"/>
        </w:rPr>
        <w:t xml:space="preserve">contraria ai </w:t>
      </w:r>
      <w:r w:rsidR="00860D70" w:rsidRPr="00A45056">
        <w:rPr>
          <w:rFonts w:ascii="Verdana" w:hAnsi="Verdana"/>
          <w:color w:val="000000" w:themeColor="text1"/>
          <w:sz w:val="20"/>
          <w:szCs w:val="20"/>
        </w:rPr>
        <w:t xml:space="preserve">richiamati </w:t>
      </w:r>
      <w:r w:rsidR="00B015F4" w:rsidRPr="00A45056">
        <w:rPr>
          <w:rFonts w:ascii="Verdana" w:hAnsi="Verdana"/>
          <w:color w:val="000000" w:themeColor="text1"/>
          <w:sz w:val="20"/>
          <w:szCs w:val="20"/>
        </w:rPr>
        <w:t>principi</w:t>
      </w:r>
      <w:r w:rsidRPr="00A45056">
        <w:rPr>
          <w:rFonts w:ascii="Verdana" w:hAnsi="Verdana"/>
          <w:color w:val="000000" w:themeColor="text1"/>
          <w:sz w:val="20"/>
          <w:szCs w:val="20"/>
        </w:rPr>
        <w:t xml:space="preserve">. </w:t>
      </w:r>
    </w:p>
    <w:p w:rsidR="003262D5" w:rsidRPr="00A45056" w:rsidRDefault="003262D5" w:rsidP="003262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Il CISS e i soggetti controllati, peraltro, in merito a tale ricostruzione hanno opposto i seguenti argomenti difensivi:</w:t>
      </w:r>
    </w:p>
    <w:p w:rsidR="003262D5" w:rsidRPr="00A45056" w:rsidRDefault="003262D5" w:rsidP="003262D5">
      <w:pPr>
        <w:pStyle w:val="Paragrafoelenco"/>
        <w:numPr>
          <w:ilvl w:val="0"/>
          <w:numId w:val="40"/>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la</w:t>
      </w:r>
      <w:proofErr w:type="gramEnd"/>
      <w:r w:rsidRPr="00A45056">
        <w:rPr>
          <w:rFonts w:ascii="Verdana" w:hAnsi="Verdana"/>
          <w:color w:val="000000" w:themeColor="text1"/>
          <w:sz w:val="20"/>
          <w:szCs w:val="20"/>
        </w:rPr>
        <w:t xml:space="preserve"> possibilità di adesioni successive a società già istituite è prevista dall’art. 4 del D.P.R. 533/1996 </w:t>
      </w:r>
      <w:r w:rsidR="00761F0B" w:rsidRPr="00A45056">
        <w:rPr>
          <w:rFonts w:ascii="Verdana" w:hAnsi="Verdana"/>
          <w:color w:val="000000" w:themeColor="text1"/>
          <w:sz w:val="20"/>
          <w:szCs w:val="20"/>
        </w:rPr>
        <w:t>(</w:t>
      </w:r>
      <w:r w:rsidRPr="00A45056">
        <w:rPr>
          <w:rFonts w:ascii="Verdana" w:hAnsi="Verdana"/>
          <w:color w:val="000000" w:themeColor="text1"/>
          <w:sz w:val="20"/>
          <w:szCs w:val="20"/>
        </w:rPr>
        <w:t xml:space="preserve">e </w:t>
      </w:r>
      <w:r w:rsidR="00816D8E" w:rsidRPr="00A45056">
        <w:rPr>
          <w:rFonts w:ascii="Verdana" w:hAnsi="Verdana"/>
          <w:color w:val="000000" w:themeColor="text1"/>
          <w:sz w:val="20"/>
          <w:szCs w:val="20"/>
        </w:rPr>
        <w:t xml:space="preserve">indirettamente </w:t>
      </w:r>
      <w:r w:rsidRPr="00A45056">
        <w:rPr>
          <w:rFonts w:ascii="Verdana" w:hAnsi="Verdana"/>
          <w:color w:val="000000" w:themeColor="text1"/>
          <w:sz w:val="20"/>
          <w:szCs w:val="20"/>
        </w:rPr>
        <w:t>dall’oggi vigent</w:t>
      </w:r>
      <w:r w:rsidR="00761F0B" w:rsidRPr="00A45056">
        <w:rPr>
          <w:rFonts w:ascii="Verdana" w:hAnsi="Verdana"/>
          <w:color w:val="000000" w:themeColor="text1"/>
          <w:sz w:val="20"/>
          <w:szCs w:val="20"/>
        </w:rPr>
        <w:t xml:space="preserve">e art. 8 </w:t>
      </w:r>
      <w:r w:rsidRPr="00A45056">
        <w:rPr>
          <w:rFonts w:ascii="Verdana" w:hAnsi="Verdana"/>
          <w:color w:val="000000" w:themeColor="text1"/>
          <w:sz w:val="20"/>
          <w:szCs w:val="20"/>
        </w:rPr>
        <w:t>del D.lgs. n. 175/2016</w:t>
      </w:r>
      <w:r w:rsidR="00761F0B" w:rsidRPr="00A45056">
        <w:rPr>
          <w:rFonts w:ascii="Verdana" w:hAnsi="Verdana"/>
          <w:color w:val="000000" w:themeColor="text1"/>
          <w:sz w:val="20"/>
          <w:szCs w:val="20"/>
        </w:rPr>
        <w:t>)</w:t>
      </w:r>
      <w:r w:rsidRPr="00A45056">
        <w:rPr>
          <w:rFonts w:ascii="Verdana" w:hAnsi="Verdana"/>
          <w:color w:val="000000" w:themeColor="text1"/>
          <w:sz w:val="20"/>
          <w:szCs w:val="20"/>
        </w:rPr>
        <w:t xml:space="preserve">, secondo cui « </w:t>
      </w:r>
      <w:r w:rsidRPr="00A45056">
        <w:rPr>
          <w:rFonts w:ascii="Verdana" w:hAnsi="Verdana"/>
          <w:i/>
          <w:color w:val="000000" w:themeColor="text1"/>
          <w:sz w:val="20"/>
          <w:szCs w:val="20"/>
        </w:rPr>
        <w:t>L'ingresso di altri enti locali nella società già costituita avviene mediante un corrispondente aumento del capitale sociale</w:t>
      </w:r>
      <w:r w:rsidRPr="00A45056">
        <w:rPr>
          <w:rFonts w:ascii="Verdana" w:hAnsi="Verdana"/>
          <w:color w:val="000000" w:themeColor="text1"/>
          <w:sz w:val="20"/>
          <w:szCs w:val="20"/>
        </w:rPr>
        <w:t>», ed è pertanto prevista come ipotesi fisiologica dallo stesso ordinamento. La tesi dell’illegittimità presupporrebbe, pertanto, la necessità di sollevare una questione di legittimità costituzionale di tali norme;</w:t>
      </w:r>
    </w:p>
    <w:p w:rsidR="003262D5" w:rsidRPr="00A45056" w:rsidRDefault="003262D5" w:rsidP="003262D5">
      <w:pPr>
        <w:pStyle w:val="Paragrafoelenco"/>
        <w:numPr>
          <w:ilvl w:val="0"/>
          <w:numId w:val="40"/>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t>la</w:t>
      </w:r>
      <w:proofErr w:type="gramEnd"/>
      <w:r w:rsidRPr="00A45056">
        <w:rPr>
          <w:rFonts w:ascii="Verdana" w:hAnsi="Verdana"/>
          <w:color w:val="000000" w:themeColor="text1"/>
          <w:sz w:val="20"/>
          <w:szCs w:val="20"/>
        </w:rPr>
        <w:t xml:space="preserve"> partecipazione ed adesione a società mista non è equiparabile ad un nuovo affidamento diretto di una concessione.</w:t>
      </w:r>
    </w:p>
    <w:p w:rsidR="003262D5" w:rsidRPr="00A45056" w:rsidRDefault="003262D5" w:rsidP="003262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L</w:t>
      </w:r>
      <w:r w:rsidR="00180351">
        <w:rPr>
          <w:rFonts w:ascii="Verdana" w:hAnsi="Verdana"/>
          <w:color w:val="000000" w:themeColor="text1"/>
          <w:sz w:val="20"/>
          <w:szCs w:val="20"/>
        </w:rPr>
        <w:t xml:space="preserve">e </w:t>
      </w:r>
      <w:r w:rsidRPr="00A45056">
        <w:rPr>
          <w:rFonts w:ascii="Verdana" w:hAnsi="Verdana"/>
          <w:color w:val="000000" w:themeColor="text1"/>
          <w:sz w:val="20"/>
          <w:szCs w:val="20"/>
        </w:rPr>
        <w:t>obiezion</w:t>
      </w:r>
      <w:r w:rsidR="00180351">
        <w:rPr>
          <w:rFonts w:ascii="Verdana" w:hAnsi="Verdana"/>
          <w:color w:val="000000" w:themeColor="text1"/>
          <w:sz w:val="20"/>
          <w:szCs w:val="20"/>
        </w:rPr>
        <w:t>i</w:t>
      </w:r>
      <w:r w:rsidRPr="00A45056">
        <w:rPr>
          <w:rFonts w:ascii="Verdana" w:hAnsi="Verdana"/>
          <w:color w:val="000000" w:themeColor="text1"/>
          <w:sz w:val="20"/>
          <w:szCs w:val="20"/>
        </w:rPr>
        <w:t xml:space="preserve"> non sono fondate. </w:t>
      </w:r>
    </w:p>
    <w:p w:rsidR="003262D5" w:rsidRPr="00A45056" w:rsidRDefault="003262D5" w:rsidP="003262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Il riferimento all’art. 4 del D.P.R. 533/1996</w:t>
      </w:r>
      <w:r w:rsidR="00F96E8A" w:rsidRPr="00A45056">
        <w:rPr>
          <w:rFonts w:ascii="Verdana" w:hAnsi="Verdana"/>
          <w:color w:val="000000" w:themeColor="text1"/>
          <w:sz w:val="20"/>
          <w:szCs w:val="20"/>
        </w:rPr>
        <w:t xml:space="preserve"> che</w:t>
      </w:r>
      <w:r w:rsidR="00180351">
        <w:rPr>
          <w:rFonts w:ascii="Verdana" w:hAnsi="Verdana"/>
          <w:color w:val="000000" w:themeColor="text1"/>
          <w:sz w:val="20"/>
          <w:szCs w:val="20"/>
        </w:rPr>
        <w:t>,</w:t>
      </w:r>
      <w:r w:rsidR="00F96E8A" w:rsidRPr="00A45056">
        <w:rPr>
          <w:rFonts w:ascii="Verdana" w:hAnsi="Verdana"/>
          <w:color w:val="000000" w:themeColor="text1"/>
          <w:sz w:val="20"/>
          <w:szCs w:val="20"/>
        </w:rPr>
        <w:t xml:space="preserve"> </w:t>
      </w:r>
      <w:r w:rsidR="00B27382" w:rsidRPr="00A45056">
        <w:rPr>
          <w:rFonts w:ascii="Verdana" w:hAnsi="Verdana"/>
          <w:color w:val="000000" w:themeColor="text1"/>
          <w:sz w:val="20"/>
          <w:szCs w:val="20"/>
        </w:rPr>
        <w:t xml:space="preserve">in primo luogo, come si è sostenuto, non era norma applicabile al settore delle farmacie, </w:t>
      </w:r>
      <w:r w:rsidR="00180351">
        <w:rPr>
          <w:rFonts w:ascii="Verdana" w:hAnsi="Verdana"/>
          <w:color w:val="000000" w:themeColor="text1"/>
          <w:sz w:val="20"/>
          <w:szCs w:val="20"/>
        </w:rPr>
        <w:t xml:space="preserve">e – in ogni caso </w:t>
      </w:r>
      <w:r w:rsidR="004C7EF2">
        <w:rPr>
          <w:rFonts w:ascii="Verdana" w:hAnsi="Verdana"/>
          <w:color w:val="000000" w:themeColor="text1"/>
          <w:sz w:val="20"/>
          <w:szCs w:val="20"/>
        </w:rPr>
        <w:t>–</w:t>
      </w:r>
      <w:r w:rsidR="00F96E8A" w:rsidRPr="00A45056">
        <w:rPr>
          <w:rFonts w:ascii="Verdana" w:hAnsi="Verdana"/>
          <w:color w:val="000000" w:themeColor="text1"/>
          <w:sz w:val="20"/>
          <w:szCs w:val="20"/>
        </w:rPr>
        <w:t xml:space="preserve">non </w:t>
      </w:r>
      <w:r w:rsidR="004C7EF2">
        <w:rPr>
          <w:rFonts w:ascii="Verdana" w:hAnsi="Verdana"/>
          <w:color w:val="000000" w:themeColor="text1"/>
          <w:sz w:val="20"/>
          <w:szCs w:val="20"/>
        </w:rPr>
        <w:t xml:space="preserve">è </w:t>
      </w:r>
      <w:r w:rsidR="00F96E8A" w:rsidRPr="00A45056">
        <w:rPr>
          <w:rFonts w:ascii="Verdana" w:hAnsi="Verdana"/>
          <w:color w:val="000000" w:themeColor="text1"/>
          <w:sz w:val="20"/>
          <w:szCs w:val="20"/>
        </w:rPr>
        <w:t>sottoponibi</w:t>
      </w:r>
      <w:r w:rsidR="00816D8E" w:rsidRPr="00A45056">
        <w:rPr>
          <w:rFonts w:ascii="Verdana" w:hAnsi="Verdana"/>
          <w:color w:val="000000" w:themeColor="text1"/>
          <w:sz w:val="20"/>
          <w:szCs w:val="20"/>
        </w:rPr>
        <w:t>le a sindacato di costituzionalità</w:t>
      </w:r>
      <w:r w:rsidR="00F96E8A" w:rsidRPr="00A45056">
        <w:rPr>
          <w:rFonts w:ascii="Verdana" w:hAnsi="Verdana"/>
          <w:color w:val="000000" w:themeColor="text1"/>
          <w:sz w:val="20"/>
          <w:szCs w:val="20"/>
        </w:rPr>
        <w:t xml:space="preserve"> </w:t>
      </w:r>
      <w:r w:rsidR="00816D8E" w:rsidRPr="00A45056">
        <w:rPr>
          <w:rFonts w:ascii="Verdana" w:hAnsi="Verdana"/>
          <w:color w:val="000000" w:themeColor="text1"/>
          <w:sz w:val="20"/>
          <w:szCs w:val="20"/>
        </w:rPr>
        <w:t xml:space="preserve">incidentale </w:t>
      </w:r>
      <w:r w:rsidR="004C7EF2">
        <w:rPr>
          <w:rFonts w:ascii="Verdana" w:hAnsi="Verdana"/>
          <w:color w:val="000000" w:themeColor="text1"/>
          <w:sz w:val="20"/>
          <w:szCs w:val="20"/>
        </w:rPr>
        <w:t xml:space="preserve">in quanto di rango regolamentare, </w:t>
      </w:r>
      <w:r w:rsidRPr="00A45056">
        <w:rPr>
          <w:rFonts w:ascii="Verdana" w:hAnsi="Verdana"/>
          <w:color w:val="000000" w:themeColor="text1"/>
          <w:sz w:val="20"/>
          <w:szCs w:val="20"/>
        </w:rPr>
        <w:t xml:space="preserve">non </w:t>
      </w:r>
      <w:r w:rsidR="00816D8E" w:rsidRPr="00A45056">
        <w:rPr>
          <w:rFonts w:ascii="Verdana" w:hAnsi="Verdana"/>
          <w:color w:val="000000" w:themeColor="text1"/>
          <w:sz w:val="20"/>
          <w:szCs w:val="20"/>
        </w:rPr>
        <w:t xml:space="preserve">può </w:t>
      </w:r>
      <w:r w:rsidRPr="00A45056">
        <w:rPr>
          <w:rFonts w:ascii="Verdana" w:hAnsi="Verdana"/>
          <w:color w:val="000000" w:themeColor="text1"/>
          <w:sz w:val="20"/>
          <w:szCs w:val="20"/>
        </w:rPr>
        <w:t xml:space="preserve">legittimare automatiche e indirette adesioni alla società partecipata già costituita e il conferimento automatico delle licenze </w:t>
      </w:r>
      <w:proofErr w:type="spellStart"/>
      <w:r w:rsidRPr="00A45056">
        <w:rPr>
          <w:rFonts w:ascii="Verdana" w:hAnsi="Verdana"/>
          <w:color w:val="000000" w:themeColor="text1"/>
          <w:sz w:val="20"/>
          <w:szCs w:val="20"/>
        </w:rPr>
        <w:t>prelazionate</w:t>
      </w:r>
      <w:proofErr w:type="spellEnd"/>
      <w:r w:rsidRPr="00A45056">
        <w:rPr>
          <w:rFonts w:ascii="Verdana" w:hAnsi="Verdana"/>
          <w:color w:val="000000" w:themeColor="text1"/>
          <w:sz w:val="20"/>
          <w:szCs w:val="20"/>
        </w:rPr>
        <w:t>.</w:t>
      </w:r>
    </w:p>
    <w:p w:rsidR="00761F0B" w:rsidRPr="00A45056" w:rsidRDefault="00761F0B" w:rsidP="003262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Infatti, la</w:t>
      </w:r>
      <w:r w:rsidR="00C55AE8" w:rsidRPr="00A45056">
        <w:rPr>
          <w:rFonts w:ascii="Verdana" w:hAnsi="Verdana"/>
          <w:color w:val="000000" w:themeColor="text1"/>
          <w:sz w:val="20"/>
          <w:szCs w:val="20"/>
        </w:rPr>
        <w:t xml:space="preserve"> norma riconosce un potere </w:t>
      </w:r>
      <w:r w:rsidR="00816D8E" w:rsidRPr="00A45056">
        <w:rPr>
          <w:rFonts w:ascii="Verdana" w:hAnsi="Verdana"/>
          <w:color w:val="000000" w:themeColor="text1"/>
          <w:sz w:val="20"/>
          <w:szCs w:val="20"/>
        </w:rPr>
        <w:t xml:space="preserve">sostanziale e </w:t>
      </w:r>
      <w:r w:rsidR="00C55AE8" w:rsidRPr="00A45056">
        <w:rPr>
          <w:rFonts w:ascii="Verdana" w:hAnsi="Verdana"/>
          <w:color w:val="000000" w:themeColor="text1"/>
          <w:sz w:val="20"/>
          <w:szCs w:val="20"/>
        </w:rPr>
        <w:t>negoziale della pubblica amministrazione, alla stregua di quello che a</w:t>
      </w:r>
      <w:r w:rsidR="00816D8E" w:rsidRPr="00A45056">
        <w:rPr>
          <w:rFonts w:ascii="Verdana" w:hAnsi="Verdana"/>
          <w:color w:val="000000" w:themeColor="text1"/>
          <w:sz w:val="20"/>
          <w:szCs w:val="20"/>
        </w:rPr>
        <w:t xml:space="preserve">ttiene la stipulazione di un </w:t>
      </w:r>
      <w:r w:rsidR="00255616" w:rsidRPr="00A45056">
        <w:rPr>
          <w:rFonts w:ascii="Verdana" w:hAnsi="Verdana"/>
          <w:color w:val="000000" w:themeColor="text1"/>
          <w:sz w:val="20"/>
          <w:szCs w:val="20"/>
        </w:rPr>
        <w:t>qualsiasi altro contratto attivo o passivo</w:t>
      </w:r>
      <w:r w:rsidR="004C7EF2">
        <w:rPr>
          <w:rFonts w:ascii="Verdana" w:hAnsi="Verdana"/>
          <w:color w:val="000000" w:themeColor="text1"/>
          <w:sz w:val="20"/>
          <w:szCs w:val="20"/>
        </w:rPr>
        <w:t>;</w:t>
      </w:r>
      <w:r w:rsidR="004C7EF2" w:rsidRPr="00A45056">
        <w:rPr>
          <w:rFonts w:ascii="Verdana" w:hAnsi="Verdana"/>
          <w:color w:val="000000" w:themeColor="text1"/>
          <w:sz w:val="20"/>
          <w:szCs w:val="20"/>
        </w:rPr>
        <w:t xml:space="preserve"> </w:t>
      </w:r>
      <w:r w:rsidR="00C55AE8" w:rsidRPr="00A45056">
        <w:rPr>
          <w:rFonts w:ascii="Verdana" w:hAnsi="Verdana"/>
          <w:color w:val="000000" w:themeColor="text1"/>
          <w:sz w:val="20"/>
          <w:szCs w:val="20"/>
        </w:rPr>
        <w:t xml:space="preserve">per altro verso, un </w:t>
      </w:r>
      <w:r w:rsidR="00F96E8A" w:rsidRPr="00A45056">
        <w:rPr>
          <w:rFonts w:ascii="Verdana" w:hAnsi="Verdana"/>
          <w:color w:val="000000" w:themeColor="text1"/>
          <w:sz w:val="20"/>
          <w:szCs w:val="20"/>
        </w:rPr>
        <w:t>simile</w:t>
      </w:r>
      <w:r w:rsidR="00C55AE8" w:rsidRPr="00A45056">
        <w:rPr>
          <w:rFonts w:ascii="Verdana" w:hAnsi="Verdana"/>
          <w:color w:val="000000" w:themeColor="text1"/>
          <w:sz w:val="20"/>
          <w:szCs w:val="20"/>
        </w:rPr>
        <w:t xml:space="preserve"> </w:t>
      </w:r>
      <w:r w:rsidR="00F96E8A" w:rsidRPr="00A45056">
        <w:rPr>
          <w:rFonts w:ascii="Verdana" w:hAnsi="Verdana"/>
          <w:color w:val="000000" w:themeColor="text1"/>
          <w:sz w:val="20"/>
          <w:szCs w:val="20"/>
        </w:rPr>
        <w:t>riconoscimento</w:t>
      </w:r>
      <w:r w:rsidR="00C55AE8" w:rsidRPr="00A45056">
        <w:rPr>
          <w:rFonts w:ascii="Verdana" w:hAnsi="Verdana"/>
          <w:color w:val="000000" w:themeColor="text1"/>
          <w:sz w:val="20"/>
          <w:szCs w:val="20"/>
        </w:rPr>
        <w:t xml:space="preserve"> non esclude, ma anzi evoca</w:t>
      </w:r>
      <w:r w:rsidR="00816D8E" w:rsidRPr="00A45056">
        <w:rPr>
          <w:rFonts w:ascii="Verdana" w:hAnsi="Verdana"/>
          <w:color w:val="000000" w:themeColor="text1"/>
          <w:sz w:val="20"/>
          <w:szCs w:val="20"/>
        </w:rPr>
        <w:t xml:space="preserve"> ed impone</w:t>
      </w:r>
      <w:r w:rsidR="00C55AE8" w:rsidRPr="00A45056">
        <w:rPr>
          <w:rFonts w:ascii="Verdana" w:hAnsi="Verdana"/>
          <w:color w:val="000000" w:themeColor="text1"/>
          <w:sz w:val="20"/>
          <w:szCs w:val="20"/>
        </w:rPr>
        <w:t xml:space="preserve">, il necessario e presupposto rispetto dei principi </w:t>
      </w:r>
      <w:r w:rsidR="0094728B" w:rsidRPr="00A45056">
        <w:rPr>
          <w:rFonts w:ascii="Verdana" w:hAnsi="Verdana"/>
          <w:color w:val="000000" w:themeColor="text1"/>
          <w:sz w:val="20"/>
          <w:szCs w:val="20"/>
        </w:rPr>
        <w:t xml:space="preserve">generali </w:t>
      </w:r>
      <w:r w:rsidR="00C55AE8" w:rsidRPr="00A45056">
        <w:rPr>
          <w:rFonts w:ascii="Verdana" w:hAnsi="Verdana"/>
          <w:color w:val="000000" w:themeColor="text1"/>
          <w:sz w:val="20"/>
          <w:szCs w:val="20"/>
        </w:rPr>
        <w:t xml:space="preserve">di trasparenza e </w:t>
      </w:r>
      <w:proofErr w:type="spellStart"/>
      <w:r w:rsidR="00C55AE8" w:rsidRPr="00A45056">
        <w:rPr>
          <w:rFonts w:ascii="Verdana" w:hAnsi="Verdana"/>
          <w:color w:val="000000" w:themeColor="text1"/>
          <w:sz w:val="20"/>
          <w:szCs w:val="20"/>
        </w:rPr>
        <w:t>concorsualità</w:t>
      </w:r>
      <w:proofErr w:type="spellEnd"/>
      <w:r w:rsidR="00F96E8A" w:rsidRPr="00A45056">
        <w:rPr>
          <w:rFonts w:ascii="Verdana" w:hAnsi="Verdana"/>
          <w:color w:val="000000" w:themeColor="text1"/>
          <w:sz w:val="20"/>
          <w:szCs w:val="20"/>
        </w:rPr>
        <w:t xml:space="preserve"> alla </w:t>
      </w:r>
      <w:r w:rsidR="00C55AE8" w:rsidRPr="00A45056">
        <w:rPr>
          <w:rFonts w:ascii="Verdana" w:hAnsi="Verdana"/>
          <w:color w:val="000000" w:themeColor="text1"/>
          <w:sz w:val="20"/>
          <w:szCs w:val="20"/>
        </w:rPr>
        <w:t>base della disciplina delle procedura ad evidenza pubblica</w:t>
      </w:r>
      <w:r w:rsidR="00F96E8A" w:rsidRPr="00A45056">
        <w:rPr>
          <w:rFonts w:ascii="Verdana" w:hAnsi="Verdana"/>
          <w:color w:val="000000" w:themeColor="text1"/>
          <w:sz w:val="20"/>
          <w:szCs w:val="20"/>
        </w:rPr>
        <w:t xml:space="preserve">. </w:t>
      </w:r>
    </w:p>
    <w:p w:rsidR="00643184" w:rsidRPr="00A45056" w:rsidRDefault="00643184" w:rsidP="003262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In secondo luogo, l’adesione al CISS comporta automaticamente la scelta di un </w:t>
      </w:r>
      <w:r w:rsidR="00D44902" w:rsidRPr="00A45056">
        <w:rPr>
          <w:rFonts w:ascii="Verdana" w:hAnsi="Verdana"/>
          <w:color w:val="000000" w:themeColor="text1"/>
          <w:sz w:val="20"/>
          <w:szCs w:val="20"/>
        </w:rPr>
        <w:t>modulo</w:t>
      </w:r>
      <w:r w:rsidRPr="00A45056">
        <w:rPr>
          <w:rFonts w:ascii="Verdana" w:hAnsi="Verdana"/>
          <w:color w:val="000000" w:themeColor="text1"/>
          <w:sz w:val="20"/>
          <w:szCs w:val="20"/>
        </w:rPr>
        <w:t xml:space="preserve"> </w:t>
      </w:r>
      <w:proofErr w:type="spellStart"/>
      <w:r w:rsidRPr="00A45056">
        <w:rPr>
          <w:rFonts w:ascii="Verdana" w:hAnsi="Verdana"/>
          <w:color w:val="000000" w:themeColor="text1"/>
          <w:sz w:val="20"/>
          <w:szCs w:val="20"/>
        </w:rPr>
        <w:t>gestorio</w:t>
      </w:r>
      <w:proofErr w:type="spellEnd"/>
      <w:r w:rsidRPr="00A45056">
        <w:rPr>
          <w:rFonts w:ascii="Verdana" w:hAnsi="Verdana"/>
          <w:color w:val="000000" w:themeColor="text1"/>
          <w:sz w:val="20"/>
          <w:szCs w:val="20"/>
        </w:rPr>
        <w:t xml:space="preserve"> ed il conferimento delle licenze </w:t>
      </w:r>
      <w:proofErr w:type="spellStart"/>
      <w:r w:rsidRPr="00A45056">
        <w:rPr>
          <w:rFonts w:ascii="Verdana" w:hAnsi="Verdana"/>
          <w:color w:val="000000" w:themeColor="text1"/>
          <w:sz w:val="20"/>
          <w:szCs w:val="20"/>
        </w:rPr>
        <w:t>prelazionate</w:t>
      </w:r>
      <w:proofErr w:type="spellEnd"/>
      <w:r w:rsidRPr="00A45056">
        <w:rPr>
          <w:rFonts w:ascii="Verdana" w:hAnsi="Verdana"/>
          <w:color w:val="000000" w:themeColor="text1"/>
          <w:sz w:val="20"/>
          <w:szCs w:val="20"/>
        </w:rPr>
        <w:t xml:space="preserve">, come correttamente evidenziato dal Consiglio di </w:t>
      </w:r>
      <w:proofErr w:type="gramStart"/>
      <w:r w:rsidRPr="00A45056">
        <w:rPr>
          <w:rFonts w:ascii="Verdana" w:hAnsi="Verdana"/>
          <w:color w:val="000000" w:themeColor="text1"/>
          <w:sz w:val="20"/>
          <w:szCs w:val="20"/>
        </w:rPr>
        <w:t xml:space="preserve">stato  </w:t>
      </w:r>
      <w:r w:rsidR="00D44902" w:rsidRPr="00A45056">
        <w:rPr>
          <w:rFonts w:ascii="Verdana" w:hAnsi="Verdana"/>
          <w:color w:val="000000" w:themeColor="text1"/>
          <w:sz w:val="20"/>
          <w:szCs w:val="20"/>
        </w:rPr>
        <w:t>sez.</w:t>
      </w:r>
      <w:proofErr w:type="gramEnd"/>
      <w:r w:rsidR="00D44902" w:rsidRPr="00A45056">
        <w:rPr>
          <w:rFonts w:ascii="Verdana" w:hAnsi="Verdana"/>
          <w:color w:val="000000" w:themeColor="text1"/>
          <w:sz w:val="20"/>
          <w:szCs w:val="20"/>
        </w:rPr>
        <w:t xml:space="preserve"> V, sentenza n. 1288/2010.</w:t>
      </w:r>
    </w:p>
    <w:p w:rsidR="00D44902" w:rsidRPr="00A45056" w:rsidRDefault="00D44902" w:rsidP="003262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Come già osservato, in continuità con l’interpretazione dell’Adunanza plenaria n. 1/2008, il contratto di società </w:t>
      </w:r>
      <w:r w:rsidR="00016249" w:rsidRPr="00A45056">
        <w:rPr>
          <w:rFonts w:ascii="Verdana" w:hAnsi="Verdana"/>
          <w:color w:val="000000" w:themeColor="text1"/>
          <w:sz w:val="20"/>
          <w:szCs w:val="20"/>
        </w:rPr>
        <w:t xml:space="preserve">stipulato per addivenire ad un partenariato pubblico-privato </w:t>
      </w:r>
      <w:r w:rsidRPr="00A45056">
        <w:rPr>
          <w:rFonts w:ascii="Verdana" w:hAnsi="Verdana"/>
          <w:color w:val="000000" w:themeColor="text1"/>
          <w:sz w:val="20"/>
          <w:szCs w:val="20"/>
        </w:rPr>
        <w:t>realizza uno schema funzionale analogo al contratto di concessione</w:t>
      </w:r>
      <w:r w:rsidR="00016249" w:rsidRPr="00A45056">
        <w:rPr>
          <w:rFonts w:ascii="Verdana" w:hAnsi="Verdana"/>
          <w:color w:val="000000" w:themeColor="text1"/>
          <w:sz w:val="20"/>
          <w:szCs w:val="20"/>
        </w:rPr>
        <w:t xml:space="preserve">, cui </w:t>
      </w:r>
      <w:r w:rsidR="00EE03C9" w:rsidRPr="00A45056">
        <w:rPr>
          <w:rFonts w:ascii="Verdana" w:hAnsi="Verdana"/>
          <w:color w:val="000000" w:themeColor="text1"/>
          <w:sz w:val="20"/>
          <w:szCs w:val="20"/>
        </w:rPr>
        <w:t>pertanto</w:t>
      </w:r>
      <w:r w:rsidR="00016249" w:rsidRPr="00A45056">
        <w:rPr>
          <w:rFonts w:ascii="Verdana" w:hAnsi="Verdana"/>
          <w:color w:val="000000" w:themeColor="text1"/>
          <w:sz w:val="20"/>
          <w:szCs w:val="20"/>
        </w:rPr>
        <w:t xml:space="preserve"> deve essere estesa la disciplina dell’evidenza pubblica selezionando i soci non solo per le proprie caratteristiche finanziarie, ma anche </w:t>
      </w:r>
      <w:r w:rsidR="004C7EF2">
        <w:rPr>
          <w:rFonts w:ascii="Verdana" w:hAnsi="Verdana"/>
          <w:color w:val="000000" w:themeColor="text1"/>
          <w:sz w:val="20"/>
          <w:szCs w:val="20"/>
        </w:rPr>
        <w:t xml:space="preserve">per quelle </w:t>
      </w:r>
      <w:r w:rsidR="00016249" w:rsidRPr="00A45056">
        <w:rPr>
          <w:rFonts w:ascii="Verdana" w:hAnsi="Verdana"/>
          <w:color w:val="000000" w:themeColor="text1"/>
          <w:sz w:val="20"/>
          <w:szCs w:val="20"/>
        </w:rPr>
        <w:t xml:space="preserve">operative. Questo, ovviamente, non può non valere anche in caso di adesioni </w:t>
      </w:r>
      <w:r w:rsidR="00EE03C9" w:rsidRPr="00A45056">
        <w:rPr>
          <w:rFonts w:ascii="Verdana" w:hAnsi="Verdana"/>
          <w:color w:val="000000" w:themeColor="text1"/>
          <w:sz w:val="20"/>
          <w:szCs w:val="20"/>
        </w:rPr>
        <w:t>successive come dimostra del resto l’odierna disciplina dell’art. 8 del D.lgs. n. 175/2016 per cui sono previste le stesse modalità amministrative contemplate per la costituzione.</w:t>
      </w:r>
    </w:p>
    <w:p w:rsidR="00EE03C9" w:rsidRPr="00A45056" w:rsidRDefault="00EE03C9" w:rsidP="003262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Poiché l’a</w:t>
      </w:r>
      <w:r w:rsidR="0065136D" w:rsidRPr="00A45056">
        <w:rPr>
          <w:rFonts w:ascii="Verdana" w:hAnsi="Verdana"/>
          <w:color w:val="000000" w:themeColor="text1"/>
          <w:sz w:val="20"/>
          <w:szCs w:val="20"/>
        </w:rPr>
        <w:t>cquisto indiretto di una partecipazione in</w:t>
      </w:r>
      <w:r w:rsidRPr="00A45056">
        <w:rPr>
          <w:rFonts w:ascii="Verdana" w:hAnsi="Verdana"/>
          <w:color w:val="000000" w:themeColor="text1"/>
          <w:sz w:val="20"/>
          <w:szCs w:val="20"/>
        </w:rPr>
        <w:t xml:space="preserve"> </w:t>
      </w:r>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si realizza automaticamente con l’ad</w:t>
      </w:r>
      <w:r w:rsidR="0065136D" w:rsidRPr="00A45056">
        <w:rPr>
          <w:rFonts w:ascii="Verdana" w:hAnsi="Verdana"/>
          <w:color w:val="000000" w:themeColor="text1"/>
          <w:sz w:val="20"/>
          <w:szCs w:val="20"/>
        </w:rPr>
        <w:t xml:space="preserve">esione al CISS, ne </w:t>
      </w:r>
      <w:r w:rsidR="007C490F" w:rsidRPr="00A45056">
        <w:rPr>
          <w:rFonts w:ascii="Verdana" w:hAnsi="Verdana"/>
          <w:color w:val="000000" w:themeColor="text1"/>
          <w:sz w:val="20"/>
          <w:szCs w:val="20"/>
        </w:rPr>
        <w:t>consegue</w:t>
      </w:r>
      <w:r w:rsidR="0065136D" w:rsidRPr="00A45056">
        <w:rPr>
          <w:rFonts w:ascii="Verdana" w:hAnsi="Verdana"/>
          <w:color w:val="000000" w:themeColor="text1"/>
          <w:sz w:val="20"/>
          <w:szCs w:val="20"/>
        </w:rPr>
        <w:t xml:space="preserve"> che la procedura di evidenza pubblica deve precedere la stessa adesione al CISS.</w:t>
      </w:r>
    </w:p>
    <w:p w:rsidR="003262D5" w:rsidRPr="00A45056" w:rsidRDefault="003262D5" w:rsidP="003262D5">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lastRenderedPageBreak/>
        <w:t>In</w:t>
      </w:r>
      <w:r w:rsidR="0094728B" w:rsidRPr="00A45056">
        <w:rPr>
          <w:rFonts w:ascii="Verdana" w:hAnsi="Verdana"/>
          <w:color w:val="000000" w:themeColor="text1"/>
          <w:sz w:val="20"/>
          <w:szCs w:val="20"/>
        </w:rPr>
        <w:t xml:space="preserve"> definitiva, la possibilità di adesioni </w:t>
      </w:r>
      <w:r w:rsidR="004C7EF2" w:rsidRPr="00A45056">
        <w:rPr>
          <w:rFonts w:ascii="Verdana" w:hAnsi="Verdana"/>
          <w:color w:val="000000" w:themeColor="text1"/>
          <w:sz w:val="20"/>
          <w:szCs w:val="20"/>
        </w:rPr>
        <w:t>successiv</w:t>
      </w:r>
      <w:r w:rsidR="004C7EF2">
        <w:rPr>
          <w:rFonts w:ascii="Verdana" w:hAnsi="Verdana"/>
          <w:color w:val="000000" w:themeColor="text1"/>
          <w:sz w:val="20"/>
          <w:szCs w:val="20"/>
        </w:rPr>
        <w:t>e</w:t>
      </w:r>
      <w:r w:rsidR="004C7EF2" w:rsidRPr="00A45056">
        <w:rPr>
          <w:rFonts w:ascii="Verdana" w:hAnsi="Verdana"/>
          <w:color w:val="000000" w:themeColor="text1"/>
          <w:sz w:val="20"/>
          <w:szCs w:val="20"/>
        </w:rPr>
        <w:t xml:space="preserve"> </w:t>
      </w:r>
      <w:r w:rsidR="0094728B" w:rsidRPr="00A45056">
        <w:rPr>
          <w:rFonts w:ascii="Verdana" w:hAnsi="Verdana"/>
          <w:color w:val="000000" w:themeColor="text1"/>
          <w:sz w:val="20"/>
          <w:szCs w:val="20"/>
        </w:rPr>
        <w:t xml:space="preserve">ad una società partecipata non è esclusa, ma in tal caso, avvenendo questa in modo indiretto e automatico attraverso l’adesione al CISS, si impone ai comuni che intendono aderire, la necessità di esperire una gara a cui </w:t>
      </w:r>
      <w:r w:rsidR="00643184" w:rsidRPr="00A45056">
        <w:rPr>
          <w:rFonts w:ascii="Verdana" w:hAnsi="Verdana"/>
          <w:color w:val="000000" w:themeColor="text1"/>
          <w:sz w:val="20"/>
          <w:szCs w:val="20"/>
        </w:rPr>
        <w:t>eventualmente</w:t>
      </w:r>
      <w:r w:rsidR="0094728B" w:rsidRPr="00A45056">
        <w:rPr>
          <w:rFonts w:ascii="Verdana" w:hAnsi="Verdana"/>
          <w:color w:val="000000" w:themeColor="text1"/>
          <w:sz w:val="20"/>
          <w:szCs w:val="20"/>
        </w:rPr>
        <w:t xml:space="preserve"> anche il CISS potrà partecipare, valorizzando la </w:t>
      </w:r>
      <w:r w:rsidR="00643184" w:rsidRPr="00A45056">
        <w:rPr>
          <w:rFonts w:ascii="Verdana" w:hAnsi="Verdana"/>
          <w:color w:val="000000" w:themeColor="text1"/>
          <w:sz w:val="20"/>
          <w:szCs w:val="20"/>
        </w:rPr>
        <w:t>propria</w:t>
      </w:r>
      <w:r w:rsidR="0094728B" w:rsidRPr="00A45056">
        <w:rPr>
          <w:rFonts w:ascii="Verdana" w:hAnsi="Verdana"/>
          <w:color w:val="000000" w:themeColor="text1"/>
          <w:sz w:val="20"/>
          <w:szCs w:val="20"/>
        </w:rPr>
        <w:t xml:space="preserve"> offerta “industriale”</w:t>
      </w:r>
      <w:r w:rsidR="00956BD3">
        <w:rPr>
          <w:rFonts w:ascii="Verdana" w:hAnsi="Verdana"/>
          <w:color w:val="000000" w:themeColor="text1"/>
          <w:sz w:val="20"/>
          <w:szCs w:val="20"/>
        </w:rPr>
        <w:t>;</w:t>
      </w:r>
      <w:r w:rsidR="0094728B" w:rsidRPr="00A45056">
        <w:rPr>
          <w:rFonts w:ascii="Verdana" w:hAnsi="Verdana"/>
          <w:color w:val="000000" w:themeColor="text1"/>
          <w:sz w:val="20"/>
          <w:szCs w:val="20"/>
        </w:rPr>
        <w:t xml:space="preserve"> </w:t>
      </w:r>
      <w:r w:rsidR="00956BD3">
        <w:rPr>
          <w:rFonts w:ascii="Verdana" w:hAnsi="Verdana"/>
          <w:color w:val="000000" w:themeColor="text1"/>
          <w:sz w:val="20"/>
          <w:szCs w:val="20"/>
        </w:rPr>
        <w:t>in</w:t>
      </w:r>
      <w:r w:rsidRPr="00A45056">
        <w:rPr>
          <w:rFonts w:ascii="Verdana" w:hAnsi="Verdana"/>
          <w:color w:val="000000" w:themeColor="text1"/>
          <w:sz w:val="20"/>
          <w:szCs w:val="20"/>
        </w:rPr>
        <w:t>fatti tale norma non esclude che tale adesione sia pr</w:t>
      </w:r>
      <w:r w:rsidR="00FC7608">
        <w:rPr>
          <w:rFonts w:ascii="Verdana" w:hAnsi="Verdana"/>
          <w:color w:val="000000" w:themeColor="text1"/>
          <w:sz w:val="20"/>
          <w:szCs w:val="20"/>
        </w:rPr>
        <w:t>e</w:t>
      </w:r>
      <w:r w:rsidRPr="00A45056">
        <w:rPr>
          <w:rFonts w:ascii="Verdana" w:hAnsi="Verdana"/>
          <w:color w:val="000000" w:themeColor="text1"/>
          <w:sz w:val="20"/>
          <w:szCs w:val="20"/>
        </w:rPr>
        <w:t>ceduta da un confronto competitivo tra più soggetti eventualmente in grado, alla stregua del CISS, di assicurare la gestione e l’erogazione del servizio in modo associato o individuale</w:t>
      </w:r>
      <w:r w:rsidR="004C7EF2">
        <w:rPr>
          <w:rFonts w:ascii="Verdana" w:hAnsi="Verdana"/>
          <w:color w:val="000000" w:themeColor="text1"/>
          <w:sz w:val="20"/>
          <w:szCs w:val="20"/>
        </w:rPr>
        <w:t>.</w:t>
      </w:r>
    </w:p>
    <w:p w:rsidR="007064AC" w:rsidRPr="00A45056" w:rsidRDefault="00E422F9" w:rsidP="00496B1D">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Per l’effetto, il CISS è tenuto ad attivarsi adottando le misure correttive </w:t>
      </w:r>
      <w:r w:rsidR="00B27382" w:rsidRPr="00A45056">
        <w:rPr>
          <w:rFonts w:ascii="Verdana" w:hAnsi="Verdana"/>
          <w:color w:val="000000" w:themeColor="text1"/>
          <w:sz w:val="20"/>
          <w:szCs w:val="20"/>
        </w:rPr>
        <w:t xml:space="preserve">conformi a quelle </w:t>
      </w:r>
      <w:r w:rsidRPr="00A45056">
        <w:rPr>
          <w:rFonts w:ascii="Verdana" w:hAnsi="Verdana"/>
          <w:color w:val="000000" w:themeColor="text1"/>
          <w:sz w:val="20"/>
          <w:szCs w:val="20"/>
        </w:rPr>
        <w:t>gi</w:t>
      </w:r>
      <w:r w:rsidR="00C54862" w:rsidRPr="00A45056">
        <w:rPr>
          <w:rFonts w:ascii="Verdana" w:hAnsi="Verdana"/>
          <w:color w:val="000000" w:themeColor="text1"/>
          <w:sz w:val="20"/>
          <w:szCs w:val="20"/>
        </w:rPr>
        <w:t xml:space="preserve">à deliberate </w:t>
      </w:r>
      <w:r w:rsidR="00B27382" w:rsidRPr="00A45056">
        <w:rPr>
          <w:rFonts w:ascii="Verdana" w:hAnsi="Verdana"/>
          <w:color w:val="000000" w:themeColor="text1"/>
          <w:sz w:val="20"/>
          <w:szCs w:val="20"/>
        </w:rPr>
        <w:t>da</w:t>
      </w:r>
      <w:r w:rsidR="00496B1D" w:rsidRPr="00A45056">
        <w:rPr>
          <w:rFonts w:ascii="Verdana" w:hAnsi="Verdana"/>
          <w:color w:val="000000" w:themeColor="text1"/>
          <w:sz w:val="20"/>
          <w:szCs w:val="20"/>
        </w:rPr>
        <w:t xml:space="preserve">ll'assemblea consortile del 11 marzo </w:t>
      </w:r>
      <w:r w:rsidR="007064AC" w:rsidRPr="00A45056">
        <w:rPr>
          <w:rFonts w:ascii="Verdana" w:hAnsi="Verdana"/>
          <w:color w:val="000000" w:themeColor="text1"/>
          <w:sz w:val="20"/>
          <w:szCs w:val="20"/>
        </w:rPr>
        <w:t>2016</w:t>
      </w:r>
      <w:r w:rsidR="00496B1D" w:rsidRPr="00A45056">
        <w:rPr>
          <w:rFonts w:ascii="Verdana" w:hAnsi="Verdana"/>
          <w:color w:val="000000" w:themeColor="text1"/>
          <w:sz w:val="20"/>
          <w:szCs w:val="20"/>
        </w:rPr>
        <w:t>,</w:t>
      </w:r>
      <w:r w:rsidR="00B27382" w:rsidRPr="00A45056">
        <w:rPr>
          <w:rFonts w:ascii="Verdana" w:hAnsi="Verdana"/>
          <w:color w:val="000000" w:themeColor="text1"/>
          <w:sz w:val="20"/>
          <w:szCs w:val="20"/>
        </w:rPr>
        <w:t xml:space="preserve"> in cui (approvando</w:t>
      </w:r>
      <w:r w:rsidR="007064AC" w:rsidRPr="00A45056">
        <w:rPr>
          <w:rFonts w:ascii="Verdana" w:hAnsi="Verdana"/>
          <w:color w:val="000000" w:themeColor="text1"/>
          <w:sz w:val="20"/>
          <w:szCs w:val="20"/>
        </w:rPr>
        <w:t xml:space="preserve"> all'unanimità il deliberato dcl </w:t>
      </w:r>
      <w:proofErr w:type="spellStart"/>
      <w:r w:rsidR="007064AC" w:rsidRPr="00A45056">
        <w:rPr>
          <w:rFonts w:ascii="Verdana" w:hAnsi="Verdana"/>
          <w:color w:val="000000" w:themeColor="text1"/>
          <w:sz w:val="20"/>
          <w:szCs w:val="20"/>
        </w:rPr>
        <w:t>CdA</w:t>
      </w:r>
      <w:proofErr w:type="spellEnd"/>
      <w:r w:rsidR="007064AC" w:rsidRPr="00A45056">
        <w:rPr>
          <w:rFonts w:ascii="Verdana" w:hAnsi="Verdana"/>
          <w:color w:val="000000" w:themeColor="text1"/>
          <w:sz w:val="20"/>
          <w:szCs w:val="20"/>
        </w:rPr>
        <w:t xml:space="preserve"> consortile del</w:t>
      </w:r>
      <w:r w:rsidR="00496B1D" w:rsidRPr="00A45056">
        <w:rPr>
          <w:rFonts w:ascii="Verdana" w:hAnsi="Verdana"/>
          <w:color w:val="000000" w:themeColor="text1"/>
          <w:sz w:val="20"/>
          <w:szCs w:val="20"/>
        </w:rPr>
        <w:t xml:space="preserve"> 21 febbraio </w:t>
      </w:r>
      <w:r w:rsidR="007064AC" w:rsidRPr="00A45056">
        <w:rPr>
          <w:rFonts w:ascii="Verdana" w:hAnsi="Verdana"/>
          <w:color w:val="000000" w:themeColor="text1"/>
          <w:sz w:val="20"/>
          <w:szCs w:val="20"/>
        </w:rPr>
        <w:t>2016</w:t>
      </w:r>
      <w:r w:rsidR="00B27382" w:rsidRPr="00A45056">
        <w:rPr>
          <w:rFonts w:ascii="Verdana" w:hAnsi="Verdana"/>
          <w:color w:val="000000" w:themeColor="text1"/>
          <w:sz w:val="20"/>
          <w:szCs w:val="20"/>
        </w:rPr>
        <w:t>)</w:t>
      </w:r>
      <w:r w:rsidR="007064AC" w:rsidRPr="00A45056">
        <w:rPr>
          <w:rFonts w:ascii="Verdana" w:hAnsi="Verdana"/>
          <w:color w:val="000000" w:themeColor="text1"/>
          <w:sz w:val="20"/>
          <w:szCs w:val="20"/>
        </w:rPr>
        <w:t xml:space="preserve"> si prevede</w:t>
      </w:r>
      <w:r w:rsidR="00496B1D" w:rsidRPr="00A45056">
        <w:rPr>
          <w:rFonts w:ascii="Verdana" w:hAnsi="Verdana"/>
          <w:color w:val="000000" w:themeColor="text1"/>
          <w:sz w:val="20"/>
          <w:szCs w:val="20"/>
        </w:rPr>
        <w:t xml:space="preserve"> </w:t>
      </w:r>
      <w:r w:rsidR="00B27382" w:rsidRPr="00A45056">
        <w:rPr>
          <w:rFonts w:ascii="Verdana" w:hAnsi="Verdana"/>
          <w:color w:val="000000" w:themeColor="text1"/>
          <w:sz w:val="20"/>
          <w:szCs w:val="20"/>
        </w:rPr>
        <w:t xml:space="preserve">di addivenire </w:t>
      </w:r>
      <w:r w:rsidR="00496B1D" w:rsidRPr="00A45056">
        <w:rPr>
          <w:rFonts w:ascii="Verdana" w:hAnsi="Verdana"/>
          <w:color w:val="000000" w:themeColor="text1"/>
          <w:sz w:val="20"/>
          <w:szCs w:val="20"/>
        </w:rPr>
        <w:t>all’</w:t>
      </w:r>
      <w:r w:rsidR="007064AC" w:rsidRPr="00A45056">
        <w:rPr>
          <w:rFonts w:ascii="Verdana" w:hAnsi="Verdana"/>
          <w:color w:val="000000" w:themeColor="text1"/>
          <w:sz w:val="20"/>
          <w:szCs w:val="20"/>
        </w:rPr>
        <w:t xml:space="preserve">abrogazione </w:t>
      </w:r>
      <w:r w:rsidR="00956BD3" w:rsidRPr="00A45056">
        <w:rPr>
          <w:rFonts w:ascii="Verdana" w:hAnsi="Verdana"/>
          <w:color w:val="000000" w:themeColor="text1"/>
          <w:sz w:val="20"/>
          <w:szCs w:val="20"/>
        </w:rPr>
        <w:t>d</w:t>
      </w:r>
      <w:r w:rsidR="00956BD3">
        <w:rPr>
          <w:rFonts w:ascii="Verdana" w:hAnsi="Verdana"/>
          <w:color w:val="000000" w:themeColor="text1"/>
          <w:sz w:val="20"/>
          <w:szCs w:val="20"/>
        </w:rPr>
        <w:t>e</w:t>
      </w:r>
      <w:r w:rsidR="00956BD3" w:rsidRPr="00A45056">
        <w:rPr>
          <w:rFonts w:ascii="Verdana" w:hAnsi="Verdana"/>
          <w:color w:val="000000" w:themeColor="text1"/>
          <w:sz w:val="20"/>
          <w:szCs w:val="20"/>
        </w:rPr>
        <w:t>ll'art</w:t>
      </w:r>
      <w:r w:rsidR="007064AC" w:rsidRPr="00A45056">
        <w:rPr>
          <w:rFonts w:ascii="Verdana" w:hAnsi="Verdana"/>
          <w:color w:val="000000" w:themeColor="text1"/>
          <w:sz w:val="20"/>
          <w:szCs w:val="20"/>
        </w:rPr>
        <w:t>.</w:t>
      </w:r>
      <w:r w:rsidR="00D1698D" w:rsidRPr="00A45056">
        <w:rPr>
          <w:rFonts w:ascii="Verdana" w:hAnsi="Verdana"/>
          <w:color w:val="000000" w:themeColor="text1"/>
          <w:sz w:val="20"/>
          <w:szCs w:val="20"/>
        </w:rPr>
        <w:t xml:space="preserve"> </w:t>
      </w:r>
      <w:r w:rsidR="007064AC" w:rsidRPr="00A45056">
        <w:rPr>
          <w:rFonts w:ascii="Verdana" w:hAnsi="Verdana"/>
          <w:color w:val="000000" w:themeColor="text1"/>
          <w:sz w:val="20"/>
          <w:szCs w:val="20"/>
        </w:rPr>
        <w:t xml:space="preserve">3 dello statuto consortile, </w:t>
      </w:r>
      <w:r w:rsidR="00D1698D" w:rsidRPr="00A45056">
        <w:rPr>
          <w:rFonts w:ascii="Verdana" w:hAnsi="Verdana"/>
          <w:color w:val="000000" w:themeColor="text1"/>
          <w:sz w:val="20"/>
          <w:szCs w:val="20"/>
        </w:rPr>
        <w:t>limitatamente</w:t>
      </w:r>
      <w:r w:rsidR="007064AC" w:rsidRPr="00A45056">
        <w:rPr>
          <w:rFonts w:ascii="Verdana" w:hAnsi="Verdana"/>
          <w:color w:val="000000" w:themeColor="text1"/>
          <w:sz w:val="20"/>
          <w:szCs w:val="20"/>
        </w:rPr>
        <w:t xml:space="preserve"> alla parte di seguito indicata: «</w:t>
      </w:r>
      <w:r w:rsidR="007064AC" w:rsidRPr="00A45056">
        <w:rPr>
          <w:rFonts w:ascii="Verdana" w:hAnsi="Verdana"/>
          <w:i/>
          <w:color w:val="000000" w:themeColor="text1"/>
          <w:sz w:val="20"/>
          <w:szCs w:val="20"/>
        </w:rPr>
        <w:t>L'adesione di un Comune al Consorzio, se richiesta ed accettata dopo che il Consorzio abbia già affidato a detti altri consorzi e/o a dette società pubbliche, miste e/o private l'espletamento di tutte o parte delle attività rientranti nel suo scopo sociale comporta per il Comune nuovo consorziato l'automatico trasferimento all'indicato consorzio e/o alla medesima società degli stessi servizi già affidati a loro dal consorzio, per quanto di sua competenza</w:t>
      </w:r>
      <w:r w:rsidR="007064AC" w:rsidRPr="00A45056">
        <w:rPr>
          <w:rFonts w:ascii="Verdana" w:hAnsi="Verdana"/>
          <w:color w:val="000000" w:themeColor="text1"/>
          <w:sz w:val="20"/>
          <w:szCs w:val="20"/>
        </w:rPr>
        <w:t>»</w:t>
      </w:r>
      <w:r w:rsidR="007842E2" w:rsidRPr="00A45056">
        <w:rPr>
          <w:rFonts w:ascii="Verdana" w:hAnsi="Verdana"/>
          <w:color w:val="000000" w:themeColor="text1"/>
          <w:sz w:val="20"/>
          <w:szCs w:val="20"/>
        </w:rPr>
        <w:t>.</w:t>
      </w:r>
    </w:p>
    <w:p w:rsidR="009118D4" w:rsidRPr="00A45056" w:rsidRDefault="00941672" w:rsidP="009118D4">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Verdana" w:hAnsi="Verdana"/>
          <w:b/>
          <w:sz w:val="20"/>
          <w:szCs w:val="20"/>
        </w:rPr>
      </w:pPr>
      <w:r w:rsidRPr="00A45056">
        <w:rPr>
          <w:rFonts w:ascii="Verdana" w:hAnsi="Verdana"/>
          <w:b/>
          <w:sz w:val="20"/>
          <w:szCs w:val="20"/>
        </w:rPr>
        <w:t>3</w:t>
      </w:r>
      <w:r w:rsidR="009118D4" w:rsidRPr="00A45056">
        <w:rPr>
          <w:rFonts w:ascii="Verdana" w:hAnsi="Verdana"/>
          <w:b/>
          <w:sz w:val="20"/>
          <w:szCs w:val="20"/>
        </w:rPr>
        <w:t>) ORGANIZZAZIONE E CARENTE CONTROLLO SULLA PART</w:t>
      </w:r>
      <w:r w:rsidR="00156A0D">
        <w:rPr>
          <w:rFonts w:ascii="Verdana" w:hAnsi="Verdana"/>
          <w:b/>
          <w:sz w:val="20"/>
          <w:szCs w:val="20"/>
        </w:rPr>
        <w:t>ECI</w:t>
      </w:r>
      <w:r w:rsidR="009118D4" w:rsidRPr="00A45056">
        <w:rPr>
          <w:rFonts w:ascii="Verdana" w:hAnsi="Verdana"/>
          <w:b/>
          <w:sz w:val="20"/>
          <w:szCs w:val="20"/>
        </w:rPr>
        <w:t xml:space="preserve">PATA INDIRETTA </w:t>
      </w:r>
      <w:r w:rsidR="003B4079">
        <w:rPr>
          <w:rFonts w:ascii="Verdana" w:hAnsi="Verdana"/>
          <w:b/>
          <w:sz w:val="20"/>
          <w:szCs w:val="20"/>
        </w:rPr>
        <w:t>INCOFARMA</w:t>
      </w:r>
    </w:p>
    <w:p w:rsidR="00F30CAF" w:rsidRPr="00A45056" w:rsidRDefault="009118D4" w:rsidP="00F30CAF">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
          <w:bCs/>
          <w:color w:val="000000" w:themeColor="text1"/>
          <w:sz w:val="20"/>
          <w:szCs w:val="20"/>
        </w:rPr>
        <w:t>5.</w:t>
      </w:r>
      <w:r w:rsidR="007842E2" w:rsidRPr="00A45056">
        <w:rPr>
          <w:rFonts w:ascii="Verdana" w:hAnsi="Verdana"/>
          <w:b/>
          <w:bCs/>
          <w:color w:val="000000" w:themeColor="text1"/>
          <w:sz w:val="20"/>
          <w:szCs w:val="20"/>
        </w:rPr>
        <w:t>3</w:t>
      </w:r>
      <w:r w:rsidR="00391BF6" w:rsidRPr="00A45056">
        <w:rPr>
          <w:rFonts w:ascii="Verdana" w:hAnsi="Verdana"/>
          <w:b/>
          <w:bCs/>
          <w:color w:val="000000" w:themeColor="text1"/>
          <w:sz w:val="20"/>
          <w:szCs w:val="20"/>
        </w:rPr>
        <w:t xml:space="preserve">. </w:t>
      </w:r>
      <w:r w:rsidR="00F30CAF" w:rsidRPr="00A45056">
        <w:rPr>
          <w:rFonts w:ascii="Verdana" w:hAnsi="Verdana"/>
          <w:color w:val="000000" w:themeColor="text1"/>
          <w:sz w:val="20"/>
          <w:szCs w:val="20"/>
        </w:rPr>
        <w:t xml:space="preserve">Come già evidenziato dalla Sezione Autonomie (Deliberazione n. 24/SEZAUT/2015/FRG) e da numerose Sezioni regionali di controllo (cfr. </w:t>
      </w:r>
      <w:r w:rsidR="00F30CAF" w:rsidRPr="00A45056">
        <w:rPr>
          <w:rFonts w:ascii="Verdana" w:hAnsi="Verdana"/>
          <w:i/>
          <w:color w:val="000000" w:themeColor="text1"/>
          <w:sz w:val="20"/>
          <w:szCs w:val="20"/>
        </w:rPr>
        <w:t xml:space="preserve">ex </w:t>
      </w:r>
      <w:proofErr w:type="spellStart"/>
      <w:r w:rsidR="00F30CAF" w:rsidRPr="00A45056">
        <w:rPr>
          <w:rFonts w:ascii="Verdana" w:hAnsi="Verdana"/>
          <w:i/>
          <w:color w:val="000000" w:themeColor="text1"/>
          <w:sz w:val="20"/>
          <w:szCs w:val="20"/>
        </w:rPr>
        <w:t>multis</w:t>
      </w:r>
      <w:proofErr w:type="spellEnd"/>
      <w:r w:rsidR="00F30CAF" w:rsidRPr="00A45056">
        <w:rPr>
          <w:rFonts w:ascii="Verdana" w:hAnsi="Verdana"/>
          <w:color w:val="000000" w:themeColor="text1"/>
          <w:sz w:val="20"/>
          <w:szCs w:val="20"/>
        </w:rPr>
        <w:t xml:space="preserve"> SRC Veneto,</w:t>
      </w:r>
      <w:r w:rsidR="00384F25">
        <w:rPr>
          <w:rFonts w:ascii="Verdana" w:hAnsi="Verdana"/>
          <w:color w:val="000000" w:themeColor="text1"/>
          <w:sz w:val="20"/>
          <w:szCs w:val="20"/>
        </w:rPr>
        <w:t xml:space="preserve"> </w:t>
      </w:r>
      <w:r w:rsidR="00F30CAF" w:rsidRPr="00A45056">
        <w:rPr>
          <w:rFonts w:ascii="Verdana" w:hAnsi="Verdana"/>
          <w:color w:val="000000" w:themeColor="text1"/>
          <w:sz w:val="20"/>
          <w:szCs w:val="20"/>
        </w:rPr>
        <w:t>n.181/2015/PRSP), il D.L. n. 174/2012 ha ridisegnato il sistema dei controlli interni sulle società̀ partecipate non quotate e sugli altri organismi partecipati, i quali “sono esercitati dalle strutture proprie dell’ente locale, che ne sono responsabili” (art. 147-</w:t>
      </w:r>
      <w:r w:rsidR="00F30CAF" w:rsidRPr="00A45056">
        <w:rPr>
          <w:rFonts w:ascii="Verdana" w:hAnsi="Verdana"/>
          <w:i/>
          <w:color w:val="000000" w:themeColor="text1"/>
          <w:sz w:val="20"/>
          <w:szCs w:val="20"/>
        </w:rPr>
        <w:t>quater</w:t>
      </w:r>
      <w:r w:rsidR="00F30CAF" w:rsidRPr="00A45056">
        <w:rPr>
          <w:rFonts w:ascii="Verdana" w:hAnsi="Verdana"/>
          <w:color w:val="000000" w:themeColor="text1"/>
          <w:sz w:val="20"/>
          <w:szCs w:val="20"/>
        </w:rPr>
        <w:t xml:space="preserve">, d.lgs. n. 267/2000). Trattasi di un controllo effettuato attraverso la definizione di obiettivi gestionali, il monitoraggio periodico dell’andamento della </w:t>
      </w:r>
      <w:r w:rsidR="00A45056" w:rsidRPr="00A45056">
        <w:rPr>
          <w:rFonts w:ascii="Verdana" w:hAnsi="Verdana"/>
          <w:color w:val="000000" w:themeColor="text1"/>
          <w:sz w:val="20"/>
          <w:szCs w:val="20"/>
        </w:rPr>
        <w:t>società</w:t>
      </w:r>
      <w:r w:rsidR="00F30CAF" w:rsidRPr="00A45056">
        <w:rPr>
          <w:rFonts w:ascii="Verdana" w:hAnsi="Verdana"/>
          <w:color w:val="000000" w:themeColor="text1"/>
          <w:sz w:val="20"/>
          <w:szCs w:val="20"/>
        </w:rPr>
        <w:t>̀ e l’analisi degli eventuali scostamenti, al fine di adottare opportune azioni correttive.</w:t>
      </w:r>
    </w:p>
    <w:p w:rsidR="00F30CAF" w:rsidRPr="00A45056" w:rsidRDefault="00F30CAF" w:rsidP="00F30CAF">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Nonostante alcune aporie semantiche (cfr. § 2.2. </w:t>
      </w:r>
      <w:proofErr w:type="gramStart"/>
      <w:r w:rsidRPr="00A45056">
        <w:rPr>
          <w:rFonts w:ascii="Verdana" w:hAnsi="Verdana"/>
          <w:color w:val="000000" w:themeColor="text1"/>
          <w:sz w:val="20"/>
          <w:szCs w:val="20"/>
        </w:rPr>
        <w:t>della</w:t>
      </w:r>
      <w:proofErr w:type="gramEnd"/>
      <w:r w:rsidRPr="00A45056">
        <w:rPr>
          <w:rFonts w:ascii="Verdana" w:hAnsi="Verdana"/>
          <w:color w:val="000000" w:themeColor="text1"/>
          <w:sz w:val="20"/>
          <w:szCs w:val="20"/>
        </w:rPr>
        <w:t xml:space="preserve"> richiamata pronuncia della Sezione autonomie), il perimetro del controllo interno sugli organismi partecipati presenta una maggiore ampiezza rispetto alla rubrica del citato art. 147- </w:t>
      </w:r>
      <w:r w:rsidRPr="00A45056">
        <w:rPr>
          <w:rFonts w:ascii="Verdana" w:hAnsi="Verdana"/>
          <w:i/>
          <w:color w:val="000000" w:themeColor="text1"/>
          <w:sz w:val="20"/>
          <w:szCs w:val="20"/>
        </w:rPr>
        <w:t>quater</w:t>
      </w:r>
      <w:r w:rsidRPr="00A45056">
        <w:rPr>
          <w:rFonts w:ascii="Verdana" w:hAnsi="Verdana"/>
          <w:color w:val="000000" w:themeColor="text1"/>
          <w:sz w:val="20"/>
          <w:szCs w:val="20"/>
        </w:rPr>
        <w:t>, dedicato ai “Controlli sulle società̀ partecipate non quotate”.</w:t>
      </w:r>
    </w:p>
    <w:p w:rsidR="00F30CAF" w:rsidRPr="00A45056" w:rsidRDefault="00F30CAF" w:rsidP="00F30CAF">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Ciò̀ è avvalorato anche dalla previsione dell’art. 147-quinquies, comma 3, TUEL secondo cui: </w:t>
      </w:r>
      <w:r w:rsidRPr="00A45056">
        <w:rPr>
          <w:rFonts w:ascii="Verdana" w:hAnsi="Verdana" w:cs="Verdana"/>
          <w:bCs/>
          <w:iCs/>
          <w:color w:val="000000" w:themeColor="text1"/>
          <w:sz w:val="20"/>
          <w:szCs w:val="20"/>
        </w:rPr>
        <w:t>«</w:t>
      </w:r>
      <w:r w:rsidRPr="00A45056">
        <w:rPr>
          <w:rFonts w:ascii="Verdana" w:hAnsi="Verdana"/>
          <w:i/>
          <w:color w:val="000000" w:themeColor="text1"/>
          <w:sz w:val="20"/>
          <w:szCs w:val="20"/>
        </w:rPr>
        <w:t>Il controllo sugli equilibri finanziari implica anche la valutazione degli effetti che si</w:t>
      </w:r>
      <w:r w:rsidRPr="00A45056">
        <w:rPr>
          <w:rFonts w:ascii="Verdana" w:hAnsi="Verdana" w:cs="Times New Roman"/>
          <w:i/>
          <w:color w:val="auto"/>
          <w:sz w:val="20"/>
          <w:szCs w:val="20"/>
          <w:bdr w:val="none" w:sz="0" w:space="0" w:color="auto"/>
          <w:lang w:eastAsia="it-IT"/>
        </w:rPr>
        <w:t xml:space="preserve"> d</w:t>
      </w:r>
      <w:r w:rsidRPr="00A45056">
        <w:rPr>
          <w:rFonts w:ascii="Verdana" w:hAnsi="Verdana"/>
          <w:i/>
          <w:color w:val="000000" w:themeColor="text1"/>
          <w:sz w:val="20"/>
          <w:szCs w:val="20"/>
        </w:rPr>
        <w:t>eterminano per il bilancio finanziario dell’ente in relazione all’andamento economico-finanziario degli organismi gestionali esterni</w:t>
      </w:r>
      <w:r w:rsidRPr="00A45056">
        <w:rPr>
          <w:rFonts w:ascii="Verdana" w:hAnsi="Verdana"/>
          <w:color w:val="000000" w:themeColor="text1"/>
          <w:sz w:val="20"/>
          <w:szCs w:val="20"/>
        </w:rPr>
        <w:t xml:space="preserve">». </w:t>
      </w:r>
    </w:p>
    <w:p w:rsidR="00F30CAF" w:rsidRPr="00A45056" w:rsidRDefault="00F30CAF" w:rsidP="00F30CAF">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Infine, in questo stesso senso depone anche la formulazione dell’art. 148-bis TUEL, ai sensi del quale «</w:t>
      </w:r>
      <w:r w:rsidRPr="00A45056">
        <w:rPr>
          <w:rFonts w:ascii="Verdana" w:hAnsi="Verdana"/>
          <w:i/>
          <w:color w:val="000000" w:themeColor="text1"/>
          <w:sz w:val="20"/>
          <w:szCs w:val="20"/>
        </w:rPr>
        <w:t>le sezioni regionali di controllo della Corte dei conti accertano altresì̀ che i rendiconti degli enti locali tengano conto anche delle partecipazioni in società̀ controllate e alle quali è affidata la gestione di servizi pubblici per la collettività̀ locale e di servizi strumentali all'ente</w:t>
      </w:r>
      <w:r w:rsidRPr="00A45056">
        <w:rPr>
          <w:rFonts w:ascii="Verdana" w:hAnsi="Verdana"/>
          <w:color w:val="000000" w:themeColor="text1"/>
          <w:sz w:val="20"/>
          <w:szCs w:val="20"/>
        </w:rPr>
        <w:t>»</w:t>
      </w:r>
      <w:r w:rsidR="00956BD3">
        <w:rPr>
          <w:rFonts w:ascii="Verdana" w:hAnsi="Verdana"/>
          <w:color w:val="000000" w:themeColor="text1"/>
          <w:sz w:val="20"/>
          <w:szCs w:val="20"/>
        </w:rPr>
        <w:t>.</w:t>
      </w:r>
      <w:r w:rsidRPr="00A45056">
        <w:rPr>
          <w:rFonts w:ascii="Verdana" w:hAnsi="Verdana"/>
          <w:color w:val="000000" w:themeColor="text1"/>
          <w:sz w:val="20"/>
          <w:szCs w:val="20"/>
        </w:rPr>
        <w:t xml:space="preserve"> </w:t>
      </w:r>
    </w:p>
    <w:p w:rsidR="00F30CAF" w:rsidRPr="00A45056" w:rsidRDefault="00F30CAF" w:rsidP="00F30CAF">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lastRenderedPageBreak/>
        <w:t xml:space="preserve">Ne consegue che una carenza organizzativa sul sistema dei controlli interni costituisce di per sé una grave irregolarità che può ridondare, per consolidato orientamento della giurisprudenza contabile (cfr., per tutte, Corte dei conti, Sezione giurisdizionale Umbria, sentenza n. 354 dell'8 novembre 2006), in caso di scelte del tutto irrazionali e antieconomiche, in una responsabilità̀ per danno erariale dei pubblici amministratori. </w:t>
      </w:r>
    </w:p>
    <w:p w:rsidR="00F30CAF" w:rsidRPr="00A45056" w:rsidRDefault="003702C2" w:rsidP="009118D4">
      <w:pPr>
        <w:shd w:val="clear" w:color="auto" w:fill="FEFFFF"/>
        <w:spacing w:line="360" w:lineRule="auto"/>
        <w:ind w:firstLine="354"/>
        <w:jc w:val="both"/>
        <w:rPr>
          <w:rFonts w:ascii="Verdana" w:hAnsi="Verdana"/>
          <w:bCs/>
          <w:color w:val="000000" w:themeColor="text1"/>
          <w:sz w:val="20"/>
          <w:szCs w:val="20"/>
        </w:rPr>
      </w:pPr>
      <w:r w:rsidRPr="00A45056">
        <w:rPr>
          <w:rFonts w:ascii="Verdana" w:hAnsi="Verdana"/>
          <w:bCs/>
          <w:color w:val="000000" w:themeColor="text1"/>
          <w:sz w:val="20"/>
          <w:szCs w:val="20"/>
        </w:rPr>
        <w:t>Tanto premesso</w:t>
      </w:r>
      <w:r w:rsidR="003670D0" w:rsidRPr="00A45056">
        <w:rPr>
          <w:rFonts w:ascii="Verdana" w:hAnsi="Verdana"/>
          <w:bCs/>
          <w:color w:val="000000" w:themeColor="text1"/>
          <w:sz w:val="20"/>
          <w:szCs w:val="20"/>
        </w:rPr>
        <w:t xml:space="preserve">, la Sezione osserva che, stante l’illegittimità originaria della scelta del modello di gestione, il sistema dei controlli interni non appare </w:t>
      </w:r>
      <w:r w:rsidR="008D790D" w:rsidRPr="00A45056">
        <w:rPr>
          <w:rFonts w:ascii="Verdana" w:hAnsi="Verdana"/>
          <w:bCs/>
          <w:color w:val="000000" w:themeColor="text1"/>
          <w:sz w:val="20"/>
          <w:szCs w:val="20"/>
        </w:rPr>
        <w:t xml:space="preserve">adeguato e </w:t>
      </w:r>
      <w:r w:rsidR="003670D0" w:rsidRPr="00A45056">
        <w:rPr>
          <w:rFonts w:ascii="Verdana" w:hAnsi="Verdana"/>
          <w:bCs/>
          <w:color w:val="000000" w:themeColor="text1"/>
          <w:sz w:val="20"/>
          <w:szCs w:val="20"/>
        </w:rPr>
        <w:t xml:space="preserve">proporzionato alla situazione concreta, richiedendosi l’istituzione di meccanismi di controllo da </w:t>
      </w:r>
      <w:r w:rsidR="00956BD3">
        <w:rPr>
          <w:rFonts w:ascii="Verdana" w:hAnsi="Verdana"/>
          <w:bCs/>
          <w:color w:val="000000" w:themeColor="text1"/>
          <w:sz w:val="20"/>
          <w:szCs w:val="20"/>
        </w:rPr>
        <w:t xml:space="preserve">parte </w:t>
      </w:r>
      <w:r w:rsidR="003670D0" w:rsidRPr="00A45056">
        <w:rPr>
          <w:rFonts w:ascii="Verdana" w:hAnsi="Verdana"/>
          <w:bCs/>
          <w:color w:val="000000" w:themeColor="text1"/>
          <w:sz w:val="20"/>
          <w:szCs w:val="20"/>
        </w:rPr>
        <w:t>dei comuni sulla gestione delle farmacie, a mezzo del CISS, in grad</w:t>
      </w:r>
      <w:r w:rsidR="008D790D" w:rsidRPr="00A45056">
        <w:rPr>
          <w:rFonts w:ascii="Verdana" w:hAnsi="Verdana"/>
          <w:bCs/>
          <w:color w:val="000000" w:themeColor="text1"/>
          <w:sz w:val="20"/>
          <w:szCs w:val="20"/>
        </w:rPr>
        <w:t>o di veri</w:t>
      </w:r>
      <w:r w:rsidR="003670D0" w:rsidRPr="00A45056">
        <w:rPr>
          <w:rFonts w:ascii="Verdana" w:hAnsi="Verdana"/>
          <w:bCs/>
          <w:color w:val="000000" w:themeColor="text1"/>
          <w:sz w:val="20"/>
          <w:szCs w:val="20"/>
        </w:rPr>
        <w:t>ficare cos</w:t>
      </w:r>
      <w:r w:rsidR="008D790D" w:rsidRPr="00A45056">
        <w:rPr>
          <w:rFonts w:ascii="Verdana" w:hAnsi="Verdana"/>
          <w:bCs/>
          <w:color w:val="000000" w:themeColor="text1"/>
          <w:sz w:val="20"/>
          <w:szCs w:val="20"/>
        </w:rPr>
        <w:t>tantemente la gestione del sogget</w:t>
      </w:r>
      <w:r w:rsidR="003670D0" w:rsidRPr="00A45056">
        <w:rPr>
          <w:rFonts w:ascii="Verdana" w:hAnsi="Verdana"/>
          <w:bCs/>
          <w:color w:val="000000" w:themeColor="text1"/>
          <w:sz w:val="20"/>
          <w:szCs w:val="20"/>
        </w:rPr>
        <w:t xml:space="preserve">to partecipato, </w:t>
      </w:r>
      <w:r w:rsidR="00956BD3">
        <w:rPr>
          <w:rFonts w:ascii="Verdana" w:hAnsi="Verdana"/>
          <w:bCs/>
          <w:color w:val="000000" w:themeColor="text1"/>
          <w:sz w:val="20"/>
          <w:szCs w:val="20"/>
        </w:rPr>
        <w:t>sia</w:t>
      </w:r>
      <w:r w:rsidR="00956BD3" w:rsidRPr="00A45056">
        <w:rPr>
          <w:rFonts w:ascii="Verdana" w:hAnsi="Verdana"/>
          <w:bCs/>
          <w:color w:val="000000" w:themeColor="text1"/>
          <w:sz w:val="20"/>
          <w:szCs w:val="20"/>
        </w:rPr>
        <w:t xml:space="preserve"> </w:t>
      </w:r>
      <w:r w:rsidR="003670D0" w:rsidRPr="00A45056">
        <w:rPr>
          <w:rFonts w:ascii="Verdana" w:hAnsi="Verdana"/>
          <w:bCs/>
          <w:color w:val="000000" w:themeColor="text1"/>
          <w:sz w:val="20"/>
          <w:szCs w:val="20"/>
        </w:rPr>
        <w:t>in punto di diritto che in punto di efficienza e redditività.</w:t>
      </w:r>
    </w:p>
    <w:p w:rsidR="009118D4" w:rsidRPr="00A45056" w:rsidRDefault="003670D0" w:rsidP="009118D4">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bCs/>
          <w:color w:val="000000" w:themeColor="text1"/>
          <w:sz w:val="20"/>
          <w:szCs w:val="20"/>
        </w:rPr>
        <w:t xml:space="preserve">Si ricorda che </w:t>
      </w:r>
      <w:r w:rsidR="00956BD3">
        <w:rPr>
          <w:rFonts w:ascii="Verdana" w:hAnsi="Verdana"/>
          <w:bCs/>
          <w:color w:val="000000" w:themeColor="text1"/>
          <w:sz w:val="20"/>
          <w:szCs w:val="20"/>
        </w:rPr>
        <w:t>a</w:t>
      </w:r>
      <w:r w:rsidR="00956BD3" w:rsidRPr="00A45056">
        <w:rPr>
          <w:rFonts w:ascii="Verdana" w:hAnsi="Verdana"/>
          <w:color w:val="000000" w:themeColor="text1"/>
          <w:sz w:val="20"/>
          <w:szCs w:val="20"/>
        </w:rPr>
        <w:t xml:space="preserve">i </w:t>
      </w:r>
      <w:r w:rsidR="009118D4" w:rsidRPr="00A45056">
        <w:rPr>
          <w:rFonts w:ascii="Verdana" w:hAnsi="Verdana"/>
          <w:color w:val="000000" w:themeColor="text1"/>
          <w:sz w:val="20"/>
          <w:szCs w:val="20"/>
        </w:rPr>
        <w:t xml:space="preserve">sensi dell’art. 2 dei patti </w:t>
      </w:r>
      <w:r w:rsidR="00956BD3" w:rsidRPr="00A45056">
        <w:rPr>
          <w:rFonts w:ascii="Verdana" w:hAnsi="Verdana"/>
          <w:color w:val="000000" w:themeColor="text1"/>
          <w:sz w:val="20"/>
          <w:szCs w:val="20"/>
        </w:rPr>
        <w:t>par</w:t>
      </w:r>
      <w:r w:rsidR="00956BD3">
        <w:rPr>
          <w:rFonts w:ascii="Verdana" w:hAnsi="Verdana"/>
          <w:color w:val="000000" w:themeColor="text1"/>
          <w:sz w:val="20"/>
          <w:szCs w:val="20"/>
        </w:rPr>
        <w:t>asociali</w:t>
      </w:r>
      <w:r w:rsidR="00956BD3" w:rsidRPr="00A45056">
        <w:rPr>
          <w:rFonts w:ascii="Verdana" w:hAnsi="Verdana"/>
          <w:color w:val="000000" w:themeColor="text1"/>
          <w:sz w:val="20"/>
          <w:szCs w:val="20"/>
        </w:rPr>
        <w:t xml:space="preserve"> </w:t>
      </w:r>
      <w:r w:rsidR="009118D4" w:rsidRPr="00A45056">
        <w:rPr>
          <w:rFonts w:ascii="Verdana" w:hAnsi="Verdana"/>
          <w:color w:val="000000" w:themeColor="text1"/>
          <w:sz w:val="20"/>
          <w:szCs w:val="20"/>
        </w:rPr>
        <w:t>«l</w:t>
      </w:r>
      <w:r w:rsidR="009118D4" w:rsidRPr="00A45056">
        <w:rPr>
          <w:rFonts w:ascii="Verdana" w:hAnsi="Verdana"/>
          <w:i/>
          <w:iCs/>
          <w:color w:val="000000" w:themeColor="text1"/>
          <w:sz w:val="20"/>
          <w:szCs w:val="20"/>
        </w:rPr>
        <w:t xml:space="preserve">e parti convengono che </w:t>
      </w:r>
      <w:r w:rsidR="009118D4" w:rsidRPr="00A45056">
        <w:rPr>
          <w:rFonts w:ascii="Verdana" w:hAnsi="Verdana"/>
          <w:bCs/>
          <w:i/>
          <w:iCs/>
          <w:color w:val="000000" w:themeColor="text1"/>
          <w:sz w:val="20"/>
          <w:szCs w:val="20"/>
        </w:rPr>
        <w:t>al C.I.S.S.</w:t>
      </w:r>
      <w:r w:rsidR="009118D4" w:rsidRPr="00A45056">
        <w:rPr>
          <w:rFonts w:ascii="Verdana" w:hAnsi="Verdana"/>
          <w:i/>
          <w:iCs/>
          <w:color w:val="000000" w:themeColor="text1"/>
          <w:sz w:val="20"/>
          <w:szCs w:val="20"/>
        </w:rPr>
        <w:t xml:space="preserve"> sia riservata la nomina di </w:t>
      </w:r>
      <w:r w:rsidR="009118D4" w:rsidRPr="00A45056">
        <w:rPr>
          <w:rFonts w:ascii="Verdana" w:hAnsi="Verdana"/>
          <w:bCs/>
          <w:i/>
          <w:iCs/>
          <w:color w:val="000000" w:themeColor="text1"/>
          <w:sz w:val="20"/>
          <w:szCs w:val="20"/>
        </w:rPr>
        <w:t xml:space="preserve">quattro membri del Consiglio di Amministrazione, tra i quali il Presidente del C.d.A. e Vice Presidente del C.d.A. </w:t>
      </w:r>
      <w:r w:rsidR="009118D4" w:rsidRPr="00A45056">
        <w:rPr>
          <w:rFonts w:ascii="Verdana" w:hAnsi="Verdana"/>
          <w:i/>
          <w:iCs/>
          <w:color w:val="000000" w:themeColor="text1"/>
          <w:sz w:val="20"/>
          <w:szCs w:val="20"/>
        </w:rPr>
        <w:t xml:space="preserve">con i poteri come da statuto, e che </w:t>
      </w:r>
      <w:r w:rsidR="009118D4" w:rsidRPr="00A45056">
        <w:rPr>
          <w:rFonts w:ascii="Verdana" w:hAnsi="Verdana"/>
          <w:bCs/>
          <w:i/>
          <w:iCs/>
          <w:color w:val="000000" w:themeColor="text1"/>
          <w:sz w:val="20"/>
          <w:szCs w:val="20"/>
        </w:rPr>
        <w:t>alla parte privata SOC.I.GE.SS. S.p.a. sia attribuito il diritto di nominare complessivamente cinque consiglieri e che ad uno di essi spetterà inderogabilmente la carica di Amministratore Delegato</w:t>
      </w:r>
      <w:r w:rsidR="009118D4" w:rsidRPr="00A45056">
        <w:rPr>
          <w:rFonts w:ascii="Verdana" w:hAnsi="Verdana"/>
          <w:i/>
          <w:iCs/>
          <w:color w:val="000000" w:themeColor="text1"/>
          <w:sz w:val="20"/>
          <w:szCs w:val="20"/>
        </w:rPr>
        <w:t>, con poteri di amministrazione ordinaria nei limiti di cui all'art. 2381 c.c. e quindi con l'esclusione delle attribuzioni di cui agli articoli 2423, 2443, 2446 e 2447, 2501 ter e 2506 bis c.c.. Quanto al collegio sindacale le parti convengono che al C.I.S.S. sia riservata la nomina di due membri effettivi oltre ad uno supplente, ed alla parte privata sia attribuito complessivamente il diritto di designare un sindaco effettivo che ricoprirà la carica di Presidente, del Collegio, nonché un membro supplente</w:t>
      </w:r>
      <w:r w:rsidR="009118D4" w:rsidRPr="00A45056">
        <w:rPr>
          <w:rFonts w:ascii="Verdana" w:hAnsi="Verdana"/>
          <w:color w:val="000000" w:themeColor="text1"/>
          <w:sz w:val="20"/>
          <w:szCs w:val="20"/>
        </w:rPr>
        <w:t>».</w:t>
      </w:r>
    </w:p>
    <w:p w:rsidR="00E63689" w:rsidRPr="00A45056" w:rsidRDefault="00E63689" w:rsidP="00E63689">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In virtù di patti parasociali, dunq</w:t>
      </w:r>
      <w:r w:rsidR="00B1706D" w:rsidRPr="00A45056">
        <w:rPr>
          <w:rFonts w:ascii="Verdana" w:hAnsi="Verdana"/>
          <w:color w:val="000000" w:themeColor="text1"/>
          <w:sz w:val="20"/>
          <w:szCs w:val="20"/>
        </w:rPr>
        <w:t>ue</w:t>
      </w:r>
      <w:r w:rsidR="00956BD3">
        <w:rPr>
          <w:rFonts w:ascii="Verdana" w:hAnsi="Verdana"/>
          <w:color w:val="000000" w:themeColor="text1"/>
          <w:sz w:val="20"/>
          <w:szCs w:val="20"/>
        </w:rPr>
        <w:t>,</w:t>
      </w:r>
      <w:r w:rsidR="00B1706D"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è assicurato al socio privato il controllo della </w:t>
      </w:r>
      <w:proofErr w:type="spellStart"/>
      <w:r w:rsidRPr="00A45056">
        <w:rPr>
          <w:rFonts w:ascii="Verdana" w:hAnsi="Verdana"/>
          <w:i/>
          <w:color w:val="000000" w:themeColor="text1"/>
          <w:sz w:val="20"/>
          <w:szCs w:val="20"/>
        </w:rPr>
        <w:t>governance</w:t>
      </w:r>
      <w:proofErr w:type="spellEnd"/>
      <w:r w:rsidRPr="00A45056">
        <w:rPr>
          <w:rFonts w:ascii="Verdana" w:hAnsi="Verdana"/>
          <w:color w:val="000000" w:themeColor="text1"/>
          <w:sz w:val="20"/>
          <w:szCs w:val="20"/>
        </w:rPr>
        <w:t xml:space="preserve"> societaria, salva la garanzia della compresenza dei rappresentanti della parte pubblica. </w:t>
      </w:r>
    </w:p>
    <w:p w:rsidR="00E63689" w:rsidRPr="00A45056" w:rsidRDefault="00E63689" w:rsidP="00E63689">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Per quanto concerne il consiglio di amministrazione di </w:t>
      </w:r>
      <w:r w:rsidR="003B4079">
        <w:rPr>
          <w:rFonts w:ascii="Verdana" w:hAnsi="Verdana"/>
          <w:color w:val="000000" w:themeColor="text1"/>
          <w:sz w:val="20"/>
          <w:szCs w:val="20"/>
        </w:rPr>
        <w:t>INCOFARMA</w:t>
      </w:r>
      <w:r w:rsidRPr="00A45056">
        <w:rPr>
          <w:rFonts w:ascii="Verdana" w:hAnsi="Verdana"/>
          <w:color w:val="000000" w:themeColor="text1"/>
          <w:sz w:val="20"/>
          <w:szCs w:val="20"/>
        </w:rPr>
        <w:t>, ai sensi dell’art. 2 dei richiamati Patti:</w:t>
      </w:r>
    </w:p>
    <w:p w:rsidR="00E63689" w:rsidRPr="00A45056" w:rsidRDefault="00E63689" w:rsidP="00E63689">
      <w:pPr>
        <w:pStyle w:val="Paragrafoelenco"/>
        <w:numPr>
          <w:ilvl w:val="0"/>
          <w:numId w:val="45"/>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 xml:space="preserve"> </w:t>
      </w:r>
      <w:proofErr w:type="gramStart"/>
      <w:r w:rsidRPr="00A45056">
        <w:rPr>
          <w:rFonts w:ascii="Verdana" w:hAnsi="Verdana"/>
          <w:color w:val="000000" w:themeColor="text1"/>
          <w:sz w:val="20"/>
          <w:szCs w:val="20"/>
        </w:rPr>
        <w:t>il</w:t>
      </w:r>
      <w:proofErr w:type="gramEnd"/>
      <w:r w:rsidRPr="00A45056">
        <w:rPr>
          <w:rFonts w:ascii="Verdana" w:hAnsi="Verdana"/>
          <w:color w:val="000000" w:themeColor="text1"/>
          <w:sz w:val="20"/>
          <w:szCs w:val="20"/>
        </w:rPr>
        <w:t xml:space="preserve"> CISS nomina 4 consiglieri (tra i quali vendo eletti il Presidente ed il  Vicepresidente del C.d.A.) </w:t>
      </w:r>
    </w:p>
    <w:p w:rsidR="00E63689" w:rsidRPr="00A45056" w:rsidRDefault="00E63689" w:rsidP="00E63689">
      <w:pPr>
        <w:pStyle w:val="Paragrafoelenco"/>
        <w:numPr>
          <w:ilvl w:val="0"/>
          <w:numId w:val="45"/>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SOCIGESS nomina 5 consiglieri e individua tra gli stessi l’Amministratore Delegato (con poteri di amministrazione ordinaria nei limiti di cui all'art. 2381 c.c. e quindi con l'esclusione delle attribuzioni di cui agli articoli 2423, 2443, 2446 e 2447, 2501 ter e 2506 bis c.c.).</w:t>
      </w:r>
    </w:p>
    <w:p w:rsidR="00E63689" w:rsidRPr="00A45056" w:rsidRDefault="00E63689" w:rsidP="00E63689">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Con la modifica dell’art. 16 Statuto della società (Assemblea straordinaria 30 aprile 2008) il Consiglio di Amministrazione può essere composto da un minimo di 5 ad un massimo di 9 membri. La parte pubblica, nell’attuale C.d.A. composto da 5 membri, si vede riservati 2 consiglieri su 5 (Presidente e Vicepresidente, rispettivamente, </w:t>
      </w:r>
      <w:proofErr w:type="gramStart"/>
      <w:r w:rsidRPr="00A45056">
        <w:rPr>
          <w:rFonts w:ascii="Verdana" w:hAnsi="Verdana"/>
          <w:color w:val="000000" w:themeColor="text1"/>
          <w:sz w:val="20"/>
          <w:szCs w:val="20"/>
        </w:rPr>
        <w:t>attualmente,  il</w:t>
      </w:r>
      <w:proofErr w:type="gramEnd"/>
      <w:r w:rsidRPr="00A45056">
        <w:rPr>
          <w:rFonts w:ascii="Verdana" w:hAnsi="Verdana"/>
          <w:color w:val="000000" w:themeColor="text1"/>
          <w:sz w:val="20"/>
          <w:szCs w:val="20"/>
        </w:rPr>
        <w:t xml:space="preserve"> Sindaco in carica il Sindaco in carica del Comune di Castel Volturno e quello del Comune di Sant' Antonio Abbate).</w:t>
      </w:r>
    </w:p>
    <w:p w:rsidR="00E63689" w:rsidRPr="00A45056" w:rsidRDefault="00E63689" w:rsidP="00E63689">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Per quanto concerne il Collegio sindacale di </w:t>
      </w:r>
      <w:r w:rsidR="003B4079">
        <w:rPr>
          <w:rFonts w:ascii="Verdana" w:hAnsi="Verdana"/>
          <w:color w:val="000000" w:themeColor="text1"/>
          <w:sz w:val="20"/>
          <w:szCs w:val="20"/>
        </w:rPr>
        <w:t>INCOFARMA</w:t>
      </w:r>
      <w:r w:rsidRPr="00A45056">
        <w:rPr>
          <w:rFonts w:ascii="Verdana" w:hAnsi="Verdana"/>
          <w:color w:val="000000" w:themeColor="text1"/>
          <w:sz w:val="20"/>
          <w:szCs w:val="20"/>
        </w:rPr>
        <w:t>, sempre in base agli stessi patti parasociali:</w:t>
      </w:r>
    </w:p>
    <w:p w:rsidR="00E63689" w:rsidRPr="00A45056" w:rsidRDefault="00E63689" w:rsidP="00E63689">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sidRPr="00A45056">
        <w:rPr>
          <w:rFonts w:ascii="Verdana" w:hAnsi="Verdana"/>
          <w:color w:val="000000" w:themeColor="text1"/>
          <w:sz w:val="20"/>
          <w:szCs w:val="20"/>
        </w:rPr>
        <w:lastRenderedPageBreak/>
        <w:t>al</w:t>
      </w:r>
      <w:proofErr w:type="gramEnd"/>
      <w:r w:rsidRPr="00A45056">
        <w:rPr>
          <w:rFonts w:ascii="Verdana" w:hAnsi="Verdana"/>
          <w:color w:val="000000" w:themeColor="text1"/>
          <w:sz w:val="20"/>
          <w:szCs w:val="20"/>
        </w:rPr>
        <w:t xml:space="preserve"> CISS è riservata la nomina di due membri effettivi oltre ad uno supplente del Collegio sindacale;</w:t>
      </w:r>
    </w:p>
    <w:p w:rsidR="00FC7608" w:rsidRPr="00A45056" w:rsidRDefault="00E63689" w:rsidP="00E2584A">
      <w:pPr>
        <w:pStyle w:val="Paragrafoelenco"/>
        <w:numPr>
          <w:ilvl w:val="0"/>
          <w:numId w:val="45"/>
        </w:numPr>
        <w:shd w:val="clear" w:color="auto" w:fill="FEFFFF"/>
        <w:spacing w:line="360" w:lineRule="auto"/>
        <w:jc w:val="both"/>
        <w:rPr>
          <w:rFonts w:ascii="Verdana" w:hAnsi="Verdana"/>
          <w:color w:val="000000" w:themeColor="text1"/>
          <w:sz w:val="20"/>
          <w:szCs w:val="20"/>
        </w:rPr>
      </w:pPr>
      <w:r w:rsidRPr="00A45056">
        <w:rPr>
          <w:rFonts w:ascii="Verdana" w:hAnsi="Verdana"/>
          <w:color w:val="000000" w:themeColor="text1"/>
          <w:sz w:val="20"/>
          <w:szCs w:val="20"/>
        </w:rPr>
        <w:t xml:space="preserve"> </w:t>
      </w:r>
      <w:proofErr w:type="gramStart"/>
      <w:r w:rsidRPr="00A45056">
        <w:rPr>
          <w:rFonts w:ascii="Verdana" w:hAnsi="Verdana"/>
          <w:color w:val="000000" w:themeColor="text1"/>
          <w:sz w:val="20"/>
          <w:szCs w:val="20"/>
        </w:rPr>
        <w:t>al</w:t>
      </w:r>
      <w:proofErr w:type="gramEnd"/>
      <w:r w:rsidRPr="00A45056">
        <w:rPr>
          <w:rFonts w:ascii="Verdana" w:hAnsi="Verdana"/>
          <w:color w:val="000000" w:themeColor="text1"/>
          <w:sz w:val="20"/>
          <w:szCs w:val="20"/>
        </w:rPr>
        <w:t xml:space="preserve"> socio privato spetta la nomina del terzo componente (e di un supplente) che ricopre il ruolo di Presidente del collegio</w:t>
      </w:r>
      <w:r w:rsidR="000B64D9">
        <w:rPr>
          <w:rFonts w:ascii="Verdana" w:hAnsi="Verdana"/>
          <w:color w:val="000000" w:themeColor="text1"/>
          <w:sz w:val="20"/>
          <w:szCs w:val="20"/>
        </w:rPr>
        <w:t>.</w:t>
      </w:r>
    </w:p>
    <w:p w:rsidR="00617C3F" w:rsidRPr="00A45056" w:rsidRDefault="00617C3F" w:rsidP="00F30CAF">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Il CISS e i comuni controllati fanno osservare che in tema di controlli l’art. 4 del D.P.R. 533/1996 riserva alla parte pubblica un peso decisamente minore: all'ente pubblico spetta nominare solamente</w:t>
      </w:r>
      <w:r w:rsidR="00F30CAF" w:rsidRPr="00A45056">
        <w:rPr>
          <w:rFonts w:ascii="Verdana" w:hAnsi="Verdana"/>
          <w:color w:val="000000" w:themeColor="text1"/>
          <w:sz w:val="20"/>
          <w:szCs w:val="20"/>
        </w:rPr>
        <w:t xml:space="preserve"> un componente del </w:t>
      </w:r>
      <w:proofErr w:type="spellStart"/>
      <w:r w:rsidR="00F30CAF" w:rsidRPr="00A45056">
        <w:rPr>
          <w:rFonts w:ascii="Verdana" w:hAnsi="Verdana"/>
          <w:color w:val="000000" w:themeColor="text1"/>
          <w:sz w:val="20"/>
          <w:szCs w:val="20"/>
        </w:rPr>
        <w:t>CdA</w:t>
      </w:r>
      <w:proofErr w:type="spellEnd"/>
      <w:r w:rsidR="00F30CAF" w:rsidRPr="00A45056">
        <w:rPr>
          <w:rFonts w:ascii="Verdana" w:hAnsi="Verdana"/>
          <w:color w:val="000000" w:themeColor="text1"/>
          <w:sz w:val="20"/>
          <w:szCs w:val="20"/>
        </w:rPr>
        <w:t xml:space="preserve"> e uno del collegio dei revisori.</w:t>
      </w:r>
    </w:p>
    <w:p w:rsidR="00617C3F" w:rsidRPr="00A45056" w:rsidRDefault="00617C3F" w:rsidP="00617C3F">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Inoltre</w:t>
      </w:r>
      <w:r w:rsidR="00F30CAF" w:rsidRPr="00A45056">
        <w:rPr>
          <w:rFonts w:ascii="Verdana" w:hAnsi="Verdana"/>
          <w:color w:val="000000" w:themeColor="text1"/>
          <w:sz w:val="20"/>
          <w:szCs w:val="20"/>
        </w:rPr>
        <w:t xml:space="preserve">, soggiungono, </w:t>
      </w:r>
      <w:r w:rsidRPr="00A45056">
        <w:rPr>
          <w:rFonts w:ascii="Verdana" w:hAnsi="Verdana"/>
          <w:color w:val="000000" w:themeColor="text1"/>
          <w:sz w:val="20"/>
          <w:szCs w:val="20"/>
        </w:rPr>
        <w:t xml:space="preserve">l'art. 8 del contratto di servizio tra CISS - </w:t>
      </w:r>
      <w:r w:rsidR="003B4079">
        <w:rPr>
          <w:rFonts w:ascii="Verdana" w:hAnsi="Verdana"/>
          <w:color w:val="000000" w:themeColor="text1"/>
          <w:sz w:val="20"/>
          <w:szCs w:val="20"/>
        </w:rPr>
        <w:t>INCOFARMA</w:t>
      </w:r>
      <w:r w:rsidR="00C31E2A" w:rsidRPr="00A45056">
        <w:rPr>
          <w:rFonts w:ascii="Verdana" w:hAnsi="Verdana"/>
          <w:color w:val="000000" w:themeColor="text1"/>
          <w:sz w:val="20"/>
          <w:szCs w:val="20"/>
        </w:rPr>
        <w:t xml:space="preserve"> </w:t>
      </w:r>
      <w:r w:rsidRPr="00A45056">
        <w:rPr>
          <w:rFonts w:ascii="Verdana" w:hAnsi="Verdana"/>
          <w:color w:val="000000" w:themeColor="text1"/>
          <w:sz w:val="20"/>
          <w:szCs w:val="20"/>
        </w:rPr>
        <w:t xml:space="preserve">S.p.A. – </w:t>
      </w:r>
      <w:r w:rsidR="00F30CAF" w:rsidRPr="00A45056">
        <w:rPr>
          <w:rFonts w:ascii="Verdana" w:hAnsi="Verdana"/>
          <w:color w:val="000000" w:themeColor="text1"/>
          <w:sz w:val="20"/>
          <w:szCs w:val="20"/>
        </w:rPr>
        <w:t xml:space="preserve">SOCIGESS S.p.A., </w:t>
      </w:r>
      <w:r w:rsidRPr="00A45056">
        <w:rPr>
          <w:rFonts w:ascii="Verdana" w:hAnsi="Verdana"/>
          <w:color w:val="000000" w:themeColor="text1"/>
          <w:sz w:val="20"/>
          <w:szCs w:val="20"/>
        </w:rPr>
        <w:t>prevede che il Consorzio può, in qualunque momento: eseguire visite conoscitive nei locali delle Farmacie e in quelli comunque utilizzati per l'espletamento del servizio; effettuare indagini di mercato per verificare il grado di soddisfazione dell'utenza sullo svolgimento del servizio; verificare periodicamente lo stato</w:t>
      </w:r>
      <w:r w:rsidR="00C52283">
        <w:rPr>
          <w:rFonts w:ascii="Verdana" w:hAnsi="Verdana"/>
          <w:color w:val="000000" w:themeColor="text1"/>
          <w:sz w:val="20"/>
          <w:szCs w:val="20"/>
        </w:rPr>
        <w:t xml:space="preserve"> di attuazione del programma di servizio</w:t>
      </w:r>
      <w:r w:rsidR="00AB025A">
        <w:rPr>
          <w:rFonts w:ascii="Verdana" w:hAnsi="Verdana"/>
          <w:color w:val="000000" w:themeColor="text1"/>
          <w:sz w:val="20"/>
          <w:szCs w:val="20"/>
        </w:rPr>
        <w:t>.</w:t>
      </w:r>
    </w:p>
    <w:p w:rsidR="00203E7F" w:rsidRPr="00A45056" w:rsidRDefault="00203E7F" w:rsidP="00617C3F">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L’obiezione non può essere accolta.</w:t>
      </w:r>
    </w:p>
    <w:p w:rsidR="00203E7F" w:rsidRPr="00A45056" w:rsidRDefault="00203E7F" w:rsidP="00617C3F">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L</w:t>
      </w:r>
      <w:r w:rsidR="00617C3F" w:rsidRPr="00A45056">
        <w:rPr>
          <w:rFonts w:ascii="Verdana" w:hAnsi="Verdana"/>
          <w:color w:val="000000" w:themeColor="text1"/>
          <w:sz w:val="20"/>
          <w:szCs w:val="20"/>
        </w:rPr>
        <w:t xml:space="preserve">e </w:t>
      </w:r>
      <w:r w:rsidRPr="00A45056">
        <w:rPr>
          <w:rFonts w:ascii="Verdana" w:hAnsi="Verdana"/>
          <w:color w:val="000000" w:themeColor="text1"/>
          <w:sz w:val="20"/>
          <w:szCs w:val="20"/>
        </w:rPr>
        <w:t>osservazioni, infatti, partono dall’errato presupposto di conformità del modello d</w:t>
      </w:r>
      <w:r w:rsidR="00956BD3">
        <w:rPr>
          <w:rFonts w:ascii="Verdana" w:hAnsi="Verdana"/>
          <w:color w:val="000000" w:themeColor="text1"/>
          <w:sz w:val="20"/>
          <w:szCs w:val="20"/>
        </w:rPr>
        <w:t>i</w:t>
      </w:r>
      <w:r w:rsidRPr="00A45056">
        <w:rPr>
          <w:rFonts w:ascii="Verdana" w:hAnsi="Verdana"/>
          <w:color w:val="000000" w:themeColor="text1"/>
          <w:sz w:val="20"/>
          <w:szCs w:val="20"/>
        </w:rPr>
        <w:t xml:space="preserve"> gestione CISS/</w:t>
      </w:r>
      <w:proofErr w:type="gramStart"/>
      <w:r w:rsidR="003B4079">
        <w:rPr>
          <w:rFonts w:ascii="Verdana" w:hAnsi="Verdana"/>
          <w:color w:val="000000" w:themeColor="text1"/>
          <w:sz w:val="20"/>
          <w:szCs w:val="20"/>
        </w:rPr>
        <w:t>INCOFARMA</w:t>
      </w:r>
      <w:r w:rsidRPr="00A45056">
        <w:rPr>
          <w:rFonts w:ascii="Verdana" w:hAnsi="Verdana"/>
          <w:color w:val="000000" w:themeColor="text1"/>
          <w:sz w:val="20"/>
          <w:szCs w:val="20"/>
        </w:rPr>
        <w:t xml:space="preserve">  alla</w:t>
      </w:r>
      <w:proofErr w:type="gramEnd"/>
      <w:r w:rsidRPr="00A45056">
        <w:rPr>
          <w:rFonts w:ascii="Verdana" w:hAnsi="Verdana"/>
          <w:color w:val="000000" w:themeColor="text1"/>
          <w:sz w:val="20"/>
          <w:szCs w:val="20"/>
        </w:rPr>
        <w:t xml:space="preserve"> legge.</w:t>
      </w:r>
    </w:p>
    <w:p w:rsidR="0089472B" w:rsidRPr="00A45056" w:rsidRDefault="00203E7F" w:rsidP="00617C3F">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 xml:space="preserve">Come ampiamente argomentato dalla Sezione, il presupposto non sussiste e per l’effetto </w:t>
      </w:r>
      <w:r w:rsidR="0089472B" w:rsidRPr="00A45056">
        <w:rPr>
          <w:rFonts w:ascii="Verdana" w:hAnsi="Verdana"/>
          <w:color w:val="000000" w:themeColor="text1"/>
          <w:sz w:val="20"/>
          <w:szCs w:val="20"/>
        </w:rPr>
        <w:t>occorre</w:t>
      </w:r>
      <w:r w:rsidRPr="00A45056">
        <w:rPr>
          <w:rFonts w:ascii="Verdana" w:hAnsi="Verdana"/>
          <w:color w:val="000000" w:themeColor="text1"/>
          <w:sz w:val="20"/>
          <w:szCs w:val="20"/>
        </w:rPr>
        <w:t xml:space="preserve"> individuare un sistema di controlli adeguato alla realtà </w:t>
      </w:r>
      <w:r w:rsidR="0089472B" w:rsidRPr="00A45056">
        <w:rPr>
          <w:rFonts w:ascii="Verdana" w:hAnsi="Verdana"/>
          <w:color w:val="000000" w:themeColor="text1"/>
          <w:sz w:val="20"/>
          <w:szCs w:val="20"/>
        </w:rPr>
        <w:t>in assenza di un parametro normativo espresso applicabile.</w:t>
      </w:r>
    </w:p>
    <w:p w:rsidR="0089472B" w:rsidRPr="00A45056" w:rsidRDefault="0089472B" w:rsidP="0089472B">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Di questa necessità, del resto</w:t>
      </w:r>
      <w:r w:rsidR="00956BD3">
        <w:rPr>
          <w:rFonts w:ascii="Verdana" w:hAnsi="Verdana"/>
          <w:color w:val="000000" w:themeColor="text1"/>
          <w:sz w:val="20"/>
          <w:szCs w:val="20"/>
        </w:rPr>
        <w:t>,</w:t>
      </w:r>
      <w:r w:rsidRPr="00A45056">
        <w:rPr>
          <w:rFonts w:ascii="Verdana" w:hAnsi="Verdana"/>
          <w:color w:val="000000" w:themeColor="text1"/>
          <w:sz w:val="20"/>
          <w:szCs w:val="20"/>
        </w:rPr>
        <w:t xml:space="preserve"> sembra</w:t>
      </w:r>
      <w:r w:rsidR="00956BD3">
        <w:rPr>
          <w:rFonts w:ascii="Verdana" w:hAnsi="Verdana"/>
          <w:color w:val="000000" w:themeColor="text1"/>
          <w:sz w:val="20"/>
          <w:szCs w:val="20"/>
        </w:rPr>
        <w:t>no</w:t>
      </w:r>
      <w:r w:rsidRPr="00A45056">
        <w:rPr>
          <w:rFonts w:ascii="Verdana" w:hAnsi="Verdana"/>
          <w:color w:val="000000" w:themeColor="text1"/>
          <w:sz w:val="20"/>
          <w:szCs w:val="20"/>
        </w:rPr>
        <w:t xml:space="preserve"> avere, da tempo, piena contezza il Consorzio e i comuni che vi partecipano. </w:t>
      </w:r>
    </w:p>
    <w:p w:rsidR="009118D4" w:rsidRPr="00A45056" w:rsidRDefault="009118D4" w:rsidP="009118D4">
      <w:pPr>
        <w:shd w:val="clear" w:color="auto" w:fill="FEFFFF"/>
        <w:spacing w:line="360" w:lineRule="auto"/>
        <w:ind w:firstLine="354"/>
        <w:jc w:val="both"/>
        <w:rPr>
          <w:rFonts w:ascii="Verdana" w:eastAsia="Verdana" w:hAnsi="Verdana" w:cs="Verdana"/>
          <w:color w:val="000000" w:themeColor="text1"/>
          <w:sz w:val="20"/>
          <w:szCs w:val="20"/>
        </w:rPr>
      </w:pPr>
      <w:r w:rsidRPr="00A45056">
        <w:rPr>
          <w:rFonts w:ascii="Verdana" w:hAnsi="Verdana"/>
          <w:color w:val="000000" w:themeColor="text1"/>
          <w:sz w:val="20"/>
          <w:szCs w:val="20"/>
        </w:rPr>
        <w:t>Da un Verbale CISS del 2011 (allegato 36.1 alla relazione del D.G.) si legge: «</w:t>
      </w:r>
      <w:r w:rsidRPr="00A45056">
        <w:rPr>
          <w:rFonts w:ascii="Verdana" w:hAnsi="Verdana"/>
          <w:i/>
          <w:iCs/>
          <w:color w:val="000000" w:themeColor="text1"/>
          <w:sz w:val="20"/>
          <w:szCs w:val="20"/>
        </w:rPr>
        <w:t>In merito prende la parola il Sindaco di [omissis] che sottolinea il proprio dissenso rispetto alla gestione ed ai servizi erogati dalla farmacia comunale gestita dall'</w:t>
      </w:r>
      <w:proofErr w:type="spellStart"/>
      <w:r w:rsidRPr="00A45056">
        <w:rPr>
          <w:rFonts w:ascii="Verdana" w:hAnsi="Verdana"/>
          <w:i/>
          <w:iCs/>
          <w:color w:val="000000" w:themeColor="text1"/>
          <w:sz w:val="20"/>
          <w:szCs w:val="20"/>
        </w:rPr>
        <w:t>lNCO.FARMA</w:t>
      </w:r>
      <w:proofErr w:type="spellEnd"/>
      <w:r w:rsidRPr="00A45056">
        <w:rPr>
          <w:rFonts w:ascii="Verdana" w:hAnsi="Verdana"/>
          <w:i/>
          <w:iCs/>
          <w:color w:val="000000" w:themeColor="text1"/>
          <w:sz w:val="20"/>
          <w:szCs w:val="20"/>
        </w:rPr>
        <w:t xml:space="preserve">. Inoltre ritiene scarsi i controlli sulle farmacie e afferma che non vengono svolte iniziative sul proprio Comune, nonché al fatto che non sono state prese in considerazione le sue richieste rispetto al prolungamento dell'orario di lavoro e all'autoambulanza, nonché all'assunzione di più personale nella sede farmaceutica del proprio comune per potenziare i servizi offerti. Interviene, l’Assessore del Comune di [omissis], il quale chiede che venga approvato il </w:t>
      </w:r>
      <w:r w:rsidRPr="00A45056">
        <w:rPr>
          <w:rFonts w:ascii="Verdana" w:hAnsi="Verdana"/>
          <w:bCs/>
          <w:i/>
          <w:iCs/>
          <w:color w:val="000000" w:themeColor="text1"/>
          <w:sz w:val="20"/>
          <w:szCs w:val="20"/>
        </w:rPr>
        <w:t xml:space="preserve">Regolamento per l’istituzione del Comitato di Vigilanza e Controllo sulle sedi farmaceutiche </w:t>
      </w:r>
      <w:r w:rsidR="001C3F3B" w:rsidRPr="00E2584A">
        <w:rPr>
          <w:rFonts w:ascii="Verdana" w:hAnsi="Verdana"/>
          <w:bCs/>
          <w:iCs/>
          <w:color w:val="000000" w:themeColor="text1"/>
          <w:sz w:val="20"/>
          <w:szCs w:val="20"/>
        </w:rPr>
        <w:t>[</w:t>
      </w:r>
      <w:r w:rsidRPr="00E2584A">
        <w:rPr>
          <w:rFonts w:ascii="Verdana" w:hAnsi="Verdana"/>
          <w:bCs/>
          <w:iCs/>
          <w:color w:val="000000" w:themeColor="text1"/>
          <w:sz w:val="20"/>
          <w:szCs w:val="20"/>
        </w:rPr>
        <w:t>…]</w:t>
      </w:r>
      <w:r w:rsidRPr="00A45056">
        <w:rPr>
          <w:rFonts w:ascii="Verdana" w:hAnsi="Verdana"/>
          <w:bCs/>
          <w:i/>
          <w:iCs/>
          <w:color w:val="000000" w:themeColor="text1"/>
          <w:sz w:val="20"/>
          <w:szCs w:val="20"/>
        </w:rPr>
        <w:t xml:space="preserve"> In particolare il Direttore rende noto quanto già discusso in precedenza in merito all'istituzione del Comitato di Vigilanza e Controllo, che lo stesso è già stato oggetto di discussione nell'ultima assemblea, ma non è stato purtroppo ancora approvato da parte degli organi competenti (</w:t>
      </w:r>
      <w:proofErr w:type="spellStart"/>
      <w:r w:rsidRPr="00A45056">
        <w:rPr>
          <w:rFonts w:ascii="Verdana" w:hAnsi="Verdana"/>
          <w:bCs/>
          <w:i/>
          <w:iCs/>
          <w:color w:val="000000" w:themeColor="text1"/>
          <w:sz w:val="20"/>
          <w:szCs w:val="20"/>
        </w:rPr>
        <w:t>CdA</w:t>
      </w:r>
      <w:proofErr w:type="spellEnd"/>
      <w:r w:rsidRPr="00A45056">
        <w:rPr>
          <w:rFonts w:ascii="Verdana" w:hAnsi="Verdana"/>
          <w:bCs/>
          <w:i/>
          <w:iCs/>
          <w:color w:val="000000" w:themeColor="text1"/>
          <w:sz w:val="20"/>
          <w:szCs w:val="20"/>
        </w:rPr>
        <w:t xml:space="preserve"> e Assemblea)</w:t>
      </w:r>
      <w:r w:rsidRPr="00A45056">
        <w:rPr>
          <w:rFonts w:ascii="Verdana" w:hAnsi="Verdana"/>
          <w:color w:val="000000" w:themeColor="text1"/>
          <w:sz w:val="20"/>
          <w:szCs w:val="20"/>
        </w:rPr>
        <w:t>».</w:t>
      </w:r>
    </w:p>
    <w:p w:rsidR="009118D4" w:rsidRPr="00A45056" w:rsidRDefault="009118D4" w:rsidP="009118D4">
      <w:pPr>
        <w:shd w:val="clear" w:color="auto" w:fill="FEFFFF"/>
        <w:spacing w:line="360" w:lineRule="auto"/>
        <w:ind w:firstLine="354"/>
        <w:jc w:val="both"/>
        <w:rPr>
          <w:rFonts w:ascii="Verdana" w:hAnsi="Verdana"/>
          <w:color w:val="000000" w:themeColor="text1"/>
          <w:sz w:val="20"/>
          <w:szCs w:val="20"/>
        </w:rPr>
      </w:pPr>
      <w:r w:rsidRPr="00A45056">
        <w:rPr>
          <w:rFonts w:ascii="Verdana" w:hAnsi="Verdana"/>
          <w:color w:val="000000" w:themeColor="text1"/>
          <w:sz w:val="20"/>
          <w:szCs w:val="20"/>
        </w:rPr>
        <w:t>Dai documenti istruttori risulta che ancora l’anno successivo, il CISS si limitava ad istituire un gruppo di lavoro deputato alla elaborazione del ridetto regolamento (allegato 36.1, pag. 21).</w:t>
      </w:r>
    </w:p>
    <w:p w:rsidR="009118D4" w:rsidRPr="00A45056" w:rsidRDefault="009118D4" w:rsidP="009118D4">
      <w:pPr>
        <w:shd w:val="clear" w:color="auto" w:fill="FEFFFF"/>
        <w:spacing w:line="360" w:lineRule="auto"/>
        <w:ind w:firstLine="708"/>
        <w:jc w:val="both"/>
        <w:rPr>
          <w:rFonts w:ascii="Verdana" w:hAnsi="Verdana"/>
          <w:bCs/>
          <w:color w:val="000000" w:themeColor="text1"/>
          <w:sz w:val="20"/>
          <w:szCs w:val="20"/>
        </w:rPr>
      </w:pPr>
      <w:r w:rsidRPr="00A45056">
        <w:rPr>
          <w:rFonts w:ascii="Verdana" w:hAnsi="Verdana"/>
          <w:color w:val="000000" w:themeColor="text1"/>
          <w:sz w:val="20"/>
          <w:szCs w:val="20"/>
        </w:rPr>
        <w:t xml:space="preserve">Sul punto i comuni, a valle della </w:t>
      </w:r>
      <w:proofErr w:type="spellStart"/>
      <w:r w:rsidRPr="00A45056">
        <w:rPr>
          <w:rFonts w:ascii="Verdana" w:hAnsi="Verdana"/>
          <w:color w:val="000000" w:themeColor="text1"/>
          <w:sz w:val="20"/>
          <w:szCs w:val="20"/>
        </w:rPr>
        <w:t>ord</w:t>
      </w:r>
      <w:proofErr w:type="spellEnd"/>
      <w:r w:rsidRPr="00A45056">
        <w:rPr>
          <w:rFonts w:ascii="Verdana" w:hAnsi="Verdana"/>
          <w:color w:val="000000" w:themeColor="text1"/>
          <w:sz w:val="20"/>
          <w:szCs w:val="20"/>
        </w:rPr>
        <w:t xml:space="preserve">. n. 218/2015, hanno </w:t>
      </w:r>
      <w:r w:rsidR="00956BD3" w:rsidRPr="00A45056">
        <w:rPr>
          <w:rFonts w:ascii="Verdana" w:hAnsi="Verdana"/>
          <w:color w:val="000000" w:themeColor="text1"/>
          <w:sz w:val="20"/>
          <w:szCs w:val="20"/>
        </w:rPr>
        <w:t>rassegna</w:t>
      </w:r>
      <w:r w:rsidR="00956BD3">
        <w:rPr>
          <w:rFonts w:ascii="Verdana" w:hAnsi="Verdana"/>
          <w:color w:val="000000" w:themeColor="text1"/>
          <w:sz w:val="20"/>
          <w:szCs w:val="20"/>
        </w:rPr>
        <w:t>t</w:t>
      </w:r>
      <w:r w:rsidR="00956BD3" w:rsidRPr="00A45056">
        <w:rPr>
          <w:rFonts w:ascii="Verdana" w:hAnsi="Verdana"/>
          <w:color w:val="000000" w:themeColor="text1"/>
          <w:sz w:val="20"/>
          <w:szCs w:val="20"/>
        </w:rPr>
        <w:t xml:space="preserve">o </w:t>
      </w:r>
      <w:r w:rsidRPr="00A45056">
        <w:rPr>
          <w:rFonts w:ascii="Verdana" w:hAnsi="Verdana"/>
          <w:color w:val="000000" w:themeColor="text1"/>
          <w:sz w:val="20"/>
          <w:szCs w:val="20"/>
        </w:rPr>
        <w:t>la relazione citata del CISS in cui, nel confermare la ricostruzione sopra riportata, ci si limita ad osservare che: «</w:t>
      </w:r>
      <w:r w:rsidRPr="00A45056">
        <w:rPr>
          <w:rFonts w:ascii="Verdana" w:hAnsi="Verdana"/>
          <w:i/>
          <w:color w:val="000000" w:themeColor="text1"/>
          <w:sz w:val="20"/>
          <w:szCs w:val="20"/>
        </w:rPr>
        <w:t xml:space="preserve">tale comitato di vigilanza e controllo non è attualmente previsto dallo statuto </w:t>
      </w:r>
      <w:r w:rsidR="003B4079">
        <w:rPr>
          <w:rFonts w:ascii="Verdana" w:hAnsi="Verdana"/>
          <w:i/>
          <w:color w:val="000000" w:themeColor="text1"/>
          <w:sz w:val="20"/>
          <w:szCs w:val="20"/>
        </w:rPr>
        <w:t>INCO</w:t>
      </w:r>
      <w:r w:rsidR="000B64D9">
        <w:rPr>
          <w:rFonts w:ascii="Verdana" w:hAnsi="Verdana"/>
          <w:i/>
          <w:color w:val="000000" w:themeColor="text1"/>
          <w:sz w:val="20"/>
          <w:szCs w:val="20"/>
        </w:rPr>
        <w:t>.</w:t>
      </w:r>
      <w:r w:rsidR="003B4079">
        <w:rPr>
          <w:rFonts w:ascii="Verdana" w:hAnsi="Verdana"/>
          <w:i/>
          <w:color w:val="000000" w:themeColor="text1"/>
          <w:sz w:val="20"/>
          <w:szCs w:val="20"/>
        </w:rPr>
        <w:t>FARMA</w:t>
      </w:r>
      <w:r w:rsidRPr="00A45056">
        <w:rPr>
          <w:rFonts w:ascii="Verdana" w:hAnsi="Verdana"/>
          <w:i/>
          <w:color w:val="000000" w:themeColor="text1"/>
          <w:sz w:val="20"/>
          <w:szCs w:val="20"/>
        </w:rPr>
        <w:t xml:space="preserve"> e non era presente neppure negli atti di gara al tempo disposti dal CISS</w:t>
      </w:r>
      <w:r w:rsidRPr="00A45056">
        <w:rPr>
          <w:rFonts w:ascii="Verdana" w:hAnsi="Verdana"/>
          <w:color w:val="000000" w:themeColor="text1"/>
          <w:sz w:val="20"/>
          <w:szCs w:val="20"/>
        </w:rPr>
        <w:t>»</w:t>
      </w:r>
      <w:r w:rsidRPr="00A45056">
        <w:rPr>
          <w:rFonts w:ascii="Verdana" w:hAnsi="Verdana"/>
          <w:bCs/>
          <w:color w:val="000000" w:themeColor="text1"/>
          <w:sz w:val="20"/>
          <w:szCs w:val="20"/>
        </w:rPr>
        <w:t>.</w:t>
      </w:r>
    </w:p>
    <w:p w:rsidR="005D4C7A" w:rsidRPr="00A45056" w:rsidRDefault="005D4C7A" w:rsidP="009118D4">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bCs/>
          <w:color w:val="000000" w:themeColor="text1"/>
          <w:sz w:val="20"/>
          <w:szCs w:val="20"/>
        </w:rPr>
        <w:lastRenderedPageBreak/>
        <w:t>La mancata costituzione di tale organo è stata confermata con le memorie e la successiva adunanza pubblica.</w:t>
      </w:r>
    </w:p>
    <w:p w:rsidR="009118D4" w:rsidRDefault="005F6ADA" w:rsidP="009118D4">
      <w:pPr>
        <w:shd w:val="clear" w:color="auto" w:fill="FEFFFF"/>
        <w:spacing w:line="360" w:lineRule="auto"/>
        <w:ind w:firstLine="708"/>
        <w:jc w:val="both"/>
        <w:rPr>
          <w:rFonts w:ascii="Verdana" w:hAnsi="Verdana"/>
          <w:color w:val="000000" w:themeColor="text1"/>
          <w:sz w:val="20"/>
          <w:szCs w:val="20"/>
        </w:rPr>
      </w:pPr>
      <w:r w:rsidRPr="00A45056">
        <w:rPr>
          <w:rFonts w:ascii="Verdana" w:hAnsi="Verdana"/>
          <w:color w:val="000000" w:themeColor="text1"/>
          <w:sz w:val="20"/>
          <w:szCs w:val="20"/>
        </w:rPr>
        <w:t xml:space="preserve">La Sezione, peraltro, prende atto che, </w:t>
      </w:r>
      <w:r w:rsidRPr="00A45056">
        <w:rPr>
          <w:rFonts w:ascii="Verdana" w:hAnsi="Verdana"/>
          <w:i/>
          <w:color w:val="000000" w:themeColor="text1"/>
          <w:sz w:val="20"/>
          <w:szCs w:val="20"/>
        </w:rPr>
        <w:t>medio tempore</w:t>
      </w:r>
      <w:r w:rsidRPr="00A45056">
        <w:rPr>
          <w:rFonts w:ascii="Verdana" w:hAnsi="Verdana"/>
          <w:color w:val="000000" w:themeColor="text1"/>
          <w:sz w:val="20"/>
          <w:szCs w:val="20"/>
        </w:rPr>
        <w:t xml:space="preserve">, nell'assemblea consortile del 11 marzo 2016 è stato approvato all'unanimità il deliberato dcl </w:t>
      </w:r>
      <w:proofErr w:type="spellStart"/>
      <w:r w:rsidRPr="00A45056">
        <w:rPr>
          <w:rFonts w:ascii="Verdana" w:hAnsi="Verdana"/>
          <w:color w:val="000000" w:themeColor="text1"/>
          <w:sz w:val="20"/>
          <w:szCs w:val="20"/>
        </w:rPr>
        <w:t>CdA</w:t>
      </w:r>
      <w:proofErr w:type="spellEnd"/>
      <w:r w:rsidRPr="00A45056">
        <w:rPr>
          <w:rFonts w:ascii="Verdana" w:hAnsi="Verdana"/>
          <w:color w:val="000000" w:themeColor="text1"/>
          <w:sz w:val="20"/>
          <w:szCs w:val="20"/>
        </w:rPr>
        <w:t xml:space="preserve"> consortile del 21 febbraio 2016 con cui si prevede  “</w:t>
      </w:r>
      <w:r w:rsidRPr="00A45056">
        <w:rPr>
          <w:rFonts w:ascii="Verdana" w:hAnsi="Verdana"/>
          <w:i/>
          <w:color w:val="000000" w:themeColor="text1"/>
          <w:sz w:val="20"/>
          <w:szCs w:val="20"/>
        </w:rPr>
        <w:t xml:space="preserve">L'istituzione di un comitato di controllo a cui affidare fa verifica periodica della corretta applicazione del contratto di servizio attualmente in essere con la </w:t>
      </w:r>
      <w:proofErr w:type="spellStart"/>
      <w:r w:rsidRPr="00A45056">
        <w:rPr>
          <w:rFonts w:ascii="Verdana" w:hAnsi="Verdana"/>
          <w:i/>
          <w:color w:val="000000" w:themeColor="text1"/>
          <w:sz w:val="20"/>
          <w:szCs w:val="20"/>
        </w:rPr>
        <w:t>Socigess</w:t>
      </w:r>
      <w:proofErr w:type="spellEnd"/>
      <w:r w:rsidRPr="00A45056">
        <w:rPr>
          <w:rFonts w:ascii="Verdana" w:hAnsi="Verdana"/>
          <w:i/>
          <w:color w:val="000000" w:themeColor="text1"/>
          <w:sz w:val="20"/>
          <w:szCs w:val="20"/>
        </w:rPr>
        <w:t xml:space="preserve"> spa e la </w:t>
      </w:r>
      <w:proofErr w:type="spellStart"/>
      <w:r w:rsidRPr="00A45056">
        <w:rPr>
          <w:rFonts w:ascii="Verdana" w:hAnsi="Verdana"/>
          <w:i/>
          <w:color w:val="000000" w:themeColor="text1"/>
          <w:sz w:val="20"/>
          <w:szCs w:val="20"/>
        </w:rPr>
        <w:t>lnco.Farma</w:t>
      </w:r>
      <w:proofErr w:type="spellEnd"/>
      <w:r w:rsidRPr="00A45056">
        <w:rPr>
          <w:rFonts w:ascii="Verdana" w:hAnsi="Verdana"/>
          <w:i/>
          <w:color w:val="000000" w:themeColor="text1"/>
          <w:sz w:val="20"/>
          <w:szCs w:val="20"/>
        </w:rPr>
        <w:t xml:space="preserve"> spa ,al fine di attuare incisive fo</w:t>
      </w:r>
      <w:r w:rsidR="00EE404E">
        <w:rPr>
          <w:rFonts w:ascii="Verdana" w:hAnsi="Verdana"/>
          <w:i/>
          <w:color w:val="000000" w:themeColor="text1"/>
          <w:sz w:val="20"/>
          <w:szCs w:val="20"/>
        </w:rPr>
        <w:t>r</w:t>
      </w:r>
      <w:r w:rsidRPr="00A45056">
        <w:rPr>
          <w:rFonts w:ascii="Verdana" w:hAnsi="Verdana"/>
          <w:i/>
          <w:color w:val="000000" w:themeColor="text1"/>
          <w:sz w:val="20"/>
          <w:szCs w:val="20"/>
        </w:rPr>
        <w:t xml:space="preserve">me di controllo analoghe a quelle realizzate dagli enti locali per le società c.d. in </w:t>
      </w:r>
      <w:proofErr w:type="spellStart"/>
      <w:r w:rsidRPr="00A45056">
        <w:rPr>
          <w:rFonts w:ascii="Verdana" w:hAnsi="Verdana"/>
          <w:i/>
          <w:color w:val="000000" w:themeColor="text1"/>
          <w:sz w:val="20"/>
          <w:szCs w:val="20"/>
        </w:rPr>
        <w:t>house</w:t>
      </w:r>
      <w:proofErr w:type="spellEnd"/>
      <w:r w:rsidRPr="00A45056">
        <w:rPr>
          <w:rFonts w:ascii="Verdana" w:hAnsi="Verdana"/>
          <w:color w:val="000000" w:themeColor="text1"/>
          <w:sz w:val="20"/>
          <w:szCs w:val="20"/>
        </w:rPr>
        <w:t>”</w:t>
      </w:r>
      <w:r w:rsidR="009118D4" w:rsidRPr="00A45056">
        <w:rPr>
          <w:rFonts w:ascii="Verdana" w:hAnsi="Verdana"/>
          <w:color w:val="000000" w:themeColor="text1"/>
          <w:sz w:val="20"/>
          <w:szCs w:val="20"/>
        </w:rPr>
        <w:t>.</w:t>
      </w:r>
    </w:p>
    <w:p w:rsidR="00FD4F7A" w:rsidRPr="00A45056" w:rsidRDefault="00FD4F7A" w:rsidP="00E2584A">
      <w:pPr>
        <w:shd w:val="clear" w:color="auto" w:fill="FEFFFF"/>
        <w:spacing w:line="360" w:lineRule="auto"/>
        <w:ind w:firstLine="708"/>
        <w:jc w:val="center"/>
        <w:rPr>
          <w:rFonts w:ascii="Verdana" w:hAnsi="Verdana"/>
          <w:color w:val="000000" w:themeColor="text1"/>
          <w:sz w:val="20"/>
          <w:szCs w:val="20"/>
        </w:rPr>
      </w:pPr>
      <w:r>
        <w:rPr>
          <w:rFonts w:ascii="Verdana" w:hAnsi="Verdana"/>
          <w:color w:val="000000" w:themeColor="text1"/>
          <w:sz w:val="20"/>
          <w:szCs w:val="20"/>
        </w:rPr>
        <w:t>***</w:t>
      </w:r>
    </w:p>
    <w:p w:rsidR="00B81244" w:rsidRDefault="00FD4F7A" w:rsidP="00E2584A">
      <w:pPr>
        <w:shd w:val="clear" w:color="auto" w:fill="FEFFFF"/>
        <w:spacing w:line="360" w:lineRule="auto"/>
        <w:ind w:firstLine="708"/>
        <w:jc w:val="both"/>
        <w:rPr>
          <w:rFonts w:ascii="Verdana" w:hAnsi="Verdana"/>
          <w:color w:val="000000" w:themeColor="text1"/>
          <w:sz w:val="20"/>
          <w:szCs w:val="20"/>
        </w:rPr>
      </w:pPr>
      <w:r w:rsidRPr="00FD4F7A">
        <w:rPr>
          <w:rFonts w:ascii="Verdana" w:hAnsi="Verdana"/>
          <w:color w:val="000000" w:themeColor="text1"/>
          <w:sz w:val="20"/>
          <w:szCs w:val="20"/>
        </w:rPr>
        <w:t>In</w:t>
      </w:r>
      <w:r>
        <w:rPr>
          <w:rFonts w:ascii="Verdana" w:hAnsi="Verdana"/>
          <w:color w:val="000000" w:themeColor="text1"/>
          <w:sz w:val="20"/>
          <w:szCs w:val="20"/>
        </w:rPr>
        <w:t xml:space="preserve"> </w:t>
      </w:r>
      <w:r w:rsidRPr="00FD4F7A">
        <w:rPr>
          <w:rFonts w:ascii="Verdana" w:hAnsi="Verdana"/>
          <w:color w:val="000000" w:themeColor="text1"/>
          <w:sz w:val="20"/>
          <w:szCs w:val="20"/>
        </w:rPr>
        <w:t>conclusione</w:t>
      </w:r>
      <w:r>
        <w:rPr>
          <w:rFonts w:ascii="Verdana" w:hAnsi="Verdana"/>
          <w:color w:val="000000" w:themeColor="text1"/>
          <w:sz w:val="20"/>
          <w:szCs w:val="20"/>
        </w:rPr>
        <w:t>, sulla base delle considerazioni, in fatto e in diritto, sopra esposte, si accerta</w:t>
      </w:r>
      <w:r w:rsidR="00F54E19">
        <w:rPr>
          <w:rFonts w:ascii="Verdana" w:hAnsi="Verdana"/>
          <w:color w:val="000000" w:themeColor="text1"/>
          <w:sz w:val="20"/>
          <w:szCs w:val="20"/>
        </w:rPr>
        <w:t xml:space="preserve">: </w:t>
      </w:r>
      <w:r w:rsidR="00200B29">
        <w:rPr>
          <w:rFonts w:ascii="Verdana" w:hAnsi="Verdana"/>
          <w:color w:val="000000" w:themeColor="text1"/>
          <w:sz w:val="20"/>
          <w:szCs w:val="20"/>
        </w:rPr>
        <w:t xml:space="preserve">a) </w:t>
      </w:r>
      <w:r w:rsidR="00F54E19">
        <w:rPr>
          <w:rFonts w:ascii="Verdana" w:hAnsi="Verdana"/>
          <w:color w:val="000000" w:themeColor="text1"/>
          <w:sz w:val="20"/>
          <w:szCs w:val="20"/>
        </w:rPr>
        <w:t>l’i</w:t>
      </w:r>
      <w:r w:rsidR="00F55C2A">
        <w:rPr>
          <w:rFonts w:ascii="Verdana" w:hAnsi="Verdana"/>
          <w:color w:val="000000" w:themeColor="text1"/>
          <w:sz w:val="20"/>
          <w:szCs w:val="20"/>
        </w:rPr>
        <w:t>rregolarità</w:t>
      </w:r>
      <w:r w:rsidR="00F54E19">
        <w:rPr>
          <w:rFonts w:ascii="Verdana" w:hAnsi="Verdana"/>
          <w:color w:val="000000" w:themeColor="text1"/>
          <w:sz w:val="20"/>
          <w:szCs w:val="20"/>
        </w:rPr>
        <w:t xml:space="preserve"> originaria</w:t>
      </w:r>
      <w:r w:rsidR="00E2584A">
        <w:rPr>
          <w:rFonts w:ascii="Verdana" w:hAnsi="Verdana"/>
          <w:color w:val="000000" w:themeColor="text1"/>
          <w:sz w:val="20"/>
          <w:szCs w:val="20"/>
        </w:rPr>
        <w:t xml:space="preserve">, per la mancata applicazione della normativa speciale, </w:t>
      </w:r>
      <w:r w:rsidR="00F54E19">
        <w:rPr>
          <w:rFonts w:ascii="Verdana" w:hAnsi="Verdana"/>
          <w:color w:val="000000" w:themeColor="text1"/>
          <w:sz w:val="20"/>
          <w:szCs w:val="20"/>
        </w:rPr>
        <w:t xml:space="preserve"> del modulo predisposto per la gestione delle sedi farmaceutiche </w:t>
      </w:r>
      <w:proofErr w:type="spellStart"/>
      <w:r w:rsidR="00F54E19">
        <w:rPr>
          <w:rFonts w:ascii="Verdana" w:hAnsi="Verdana"/>
          <w:color w:val="000000" w:themeColor="text1"/>
          <w:sz w:val="20"/>
          <w:szCs w:val="20"/>
        </w:rPr>
        <w:t>prelazionate</w:t>
      </w:r>
      <w:proofErr w:type="spellEnd"/>
      <w:r w:rsidR="00F54E19">
        <w:rPr>
          <w:rFonts w:ascii="Verdana" w:hAnsi="Verdana"/>
          <w:color w:val="000000" w:themeColor="text1"/>
          <w:sz w:val="20"/>
          <w:szCs w:val="20"/>
        </w:rPr>
        <w:t xml:space="preserve">, effettuata a mezzo di società mista </w:t>
      </w:r>
      <w:r w:rsidR="001865D9">
        <w:rPr>
          <w:rFonts w:ascii="Verdana" w:hAnsi="Verdana"/>
          <w:color w:val="000000" w:themeColor="text1"/>
          <w:sz w:val="20"/>
          <w:szCs w:val="20"/>
        </w:rPr>
        <w:t xml:space="preserve">a capitale privato prevalente </w:t>
      </w:r>
      <w:r w:rsidR="00F54E19">
        <w:rPr>
          <w:rFonts w:ascii="Verdana" w:hAnsi="Verdana"/>
          <w:color w:val="000000" w:themeColor="text1"/>
          <w:sz w:val="20"/>
          <w:szCs w:val="20"/>
        </w:rPr>
        <w:t>(sebbene attraverso il diaframma organizzativo di un consorzio di diritto pubblico, in conformità all’art. 9 della Legge Mariotti)</w:t>
      </w:r>
      <w:r w:rsidR="001865D9">
        <w:rPr>
          <w:rFonts w:ascii="Verdana" w:hAnsi="Verdana"/>
          <w:color w:val="000000" w:themeColor="text1"/>
          <w:sz w:val="20"/>
          <w:szCs w:val="20"/>
        </w:rPr>
        <w:t>;</w:t>
      </w:r>
      <w:r w:rsidR="00200B29">
        <w:rPr>
          <w:rFonts w:ascii="Verdana" w:hAnsi="Verdana"/>
          <w:color w:val="000000" w:themeColor="text1"/>
          <w:sz w:val="20"/>
          <w:szCs w:val="20"/>
        </w:rPr>
        <w:t xml:space="preserve"> b)</w:t>
      </w:r>
      <w:r w:rsidR="001865D9">
        <w:rPr>
          <w:rFonts w:ascii="Verdana" w:hAnsi="Verdana"/>
          <w:color w:val="000000" w:themeColor="text1"/>
          <w:sz w:val="20"/>
          <w:szCs w:val="20"/>
        </w:rPr>
        <w:t xml:space="preserve"> l’illegittimità del conferimento automatico nella nuove licenze </w:t>
      </w:r>
      <w:proofErr w:type="spellStart"/>
      <w:r w:rsidR="001865D9">
        <w:rPr>
          <w:rFonts w:ascii="Verdana" w:hAnsi="Verdana"/>
          <w:color w:val="000000" w:themeColor="text1"/>
          <w:sz w:val="20"/>
          <w:szCs w:val="20"/>
        </w:rPr>
        <w:t>prelazionate</w:t>
      </w:r>
      <w:proofErr w:type="spellEnd"/>
      <w:r w:rsidR="001865D9">
        <w:rPr>
          <w:rFonts w:ascii="Verdana" w:hAnsi="Verdana"/>
          <w:color w:val="000000" w:themeColor="text1"/>
          <w:sz w:val="20"/>
          <w:szCs w:val="20"/>
        </w:rPr>
        <w:t xml:space="preserve"> a beneficio della predetta società mista; </w:t>
      </w:r>
      <w:r w:rsidR="00200B29">
        <w:rPr>
          <w:rFonts w:ascii="Verdana" w:hAnsi="Verdana"/>
          <w:color w:val="000000" w:themeColor="text1"/>
          <w:sz w:val="20"/>
          <w:szCs w:val="20"/>
        </w:rPr>
        <w:t xml:space="preserve">c) </w:t>
      </w:r>
      <w:r w:rsidR="001865D9">
        <w:rPr>
          <w:rFonts w:ascii="Verdana" w:hAnsi="Verdana"/>
          <w:color w:val="000000" w:themeColor="text1"/>
          <w:sz w:val="20"/>
          <w:szCs w:val="20"/>
        </w:rPr>
        <w:t>il non adeguato sistema dei controlli interni.</w:t>
      </w:r>
    </w:p>
    <w:p w:rsidR="00EF5C09" w:rsidRDefault="00200B29" w:rsidP="00E2584A">
      <w:pPr>
        <w:shd w:val="clear" w:color="auto" w:fill="FEFFFF"/>
        <w:spacing w:line="360" w:lineRule="auto"/>
        <w:ind w:firstLine="708"/>
        <w:jc w:val="both"/>
        <w:rPr>
          <w:rFonts w:ascii="Verdana" w:hAnsi="Verdana"/>
          <w:color w:val="000000" w:themeColor="text1"/>
          <w:sz w:val="20"/>
          <w:szCs w:val="20"/>
        </w:rPr>
      </w:pPr>
      <w:r>
        <w:rPr>
          <w:rFonts w:ascii="Verdana" w:hAnsi="Verdana"/>
          <w:color w:val="000000" w:themeColor="text1"/>
          <w:sz w:val="20"/>
          <w:szCs w:val="20"/>
        </w:rPr>
        <w:t xml:space="preserve">Di conseguenza, </w:t>
      </w:r>
      <w:r w:rsidR="00EF5C09">
        <w:rPr>
          <w:rFonts w:ascii="Verdana" w:hAnsi="Verdana"/>
          <w:color w:val="000000" w:themeColor="text1"/>
          <w:sz w:val="20"/>
          <w:szCs w:val="20"/>
        </w:rPr>
        <w:t>a garanzia</w:t>
      </w:r>
      <w:r>
        <w:rPr>
          <w:rFonts w:ascii="Verdana" w:hAnsi="Verdana"/>
          <w:color w:val="000000" w:themeColor="text1"/>
          <w:sz w:val="20"/>
          <w:szCs w:val="20"/>
        </w:rPr>
        <w:t xml:space="preserve"> del principio di proporzionalità e continuità ammin</w:t>
      </w:r>
      <w:r w:rsidR="00EF5C09">
        <w:rPr>
          <w:rFonts w:ascii="Verdana" w:hAnsi="Verdana"/>
          <w:color w:val="000000" w:themeColor="text1"/>
          <w:sz w:val="20"/>
          <w:szCs w:val="20"/>
        </w:rPr>
        <w:t>istrativa</w:t>
      </w:r>
      <w:r w:rsidR="001865D9">
        <w:rPr>
          <w:rFonts w:ascii="Verdana" w:hAnsi="Verdana"/>
          <w:color w:val="000000" w:themeColor="text1"/>
          <w:sz w:val="20"/>
          <w:szCs w:val="20"/>
        </w:rPr>
        <w:t xml:space="preserve">, </w:t>
      </w:r>
      <w:r>
        <w:rPr>
          <w:rFonts w:ascii="Verdana" w:hAnsi="Verdana"/>
          <w:color w:val="000000" w:themeColor="text1"/>
          <w:sz w:val="20"/>
          <w:szCs w:val="20"/>
        </w:rPr>
        <w:t xml:space="preserve">gli enti interessati sono tenuti ad attivarsi per limitare, </w:t>
      </w:r>
      <w:r w:rsidRPr="00E2584A">
        <w:rPr>
          <w:rFonts w:ascii="Verdana" w:hAnsi="Verdana"/>
          <w:i/>
          <w:color w:val="000000" w:themeColor="text1"/>
          <w:sz w:val="20"/>
          <w:szCs w:val="20"/>
        </w:rPr>
        <w:t xml:space="preserve">ex </w:t>
      </w:r>
      <w:proofErr w:type="spellStart"/>
      <w:r w:rsidRPr="00E2584A">
        <w:rPr>
          <w:rFonts w:ascii="Verdana" w:hAnsi="Verdana"/>
          <w:i/>
          <w:color w:val="000000" w:themeColor="text1"/>
          <w:sz w:val="20"/>
          <w:szCs w:val="20"/>
        </w:rPr>
        <w:t>nunc</w:t>
      </w:r>
      <w:proofErr w:type="spellEnd"/>
      <w:r>
        <w:rPr>
          <w:rFonts w:ascii="Verdana" w:hAnsi="Verdana"/>
          <w:color w:val="000000" w:themeColor="text1"/>
          <w:sz w:val="20"/>
          <w:szCs w:val="20"/>
        </w:rPr>
        <w:t xml:space="preserve">, gli effetti di tali </w:t>
      </w:r>
      <w:r w:rsidR="00EF5C09">
        <w:rPr>
          <w:rFonts w:ascii="Verdana" w:hAnsi="Verdana"/>
          <w:color w:val="000000" w:themeColor="text1"/>
          <w:sz w:val="20"/>
          <w:szCs w:val="20"/>
        </w:rPr>
        <w:t>i</w:t>
      </w:r>
      <w:r w:rsidR="00F55C2A">
        <w:rPr>
          <w:rFonts w:ascii="Verdana" w:hAnsi="Verdana"/>
          <w:color w:val="000000" w:themeColor="text1"/>
          <w:sz w:val="20"/>
          <w:szCs w:val="20"/>
        </w:rPr>
        <w:t>rregolarità</w:t>
      </w:r>
      <w:r w:rsidR="00EF5C09">
        <w:rPr>
          <w:rFonts w:ascii="Verdana" w:hAnsi="Verdana"/>
          <w:color w:val="000000" w:themeColor="text1"/>
          <w:sz w:val="20"/>
          <w:szCs w:val="20"/>
        </w:rPr>
        <w:t>:</w:t>
      </w:r>
    </w:p>
    <w:p w:rsidR="00EF5C09" w:rsidRDefault="00EF5C09" w:rsidP="00E2584A">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Pr>
          <w:rFonts w:ascii="Verdana" w:hAnsi="Verdana"/>
          <w:color w:val="000000" w:themeColor="text1"/>
          <w:sz w:val="20"/>
          <w:szCs w:val="20"/>
        </w:rPr>
        <w:t>non</w:t>
      </w:r>
      <w:proofErr w:type="gramEnd"/>
      <w:r>
        <w:rPr>
          <w:rFonts w:ascii="Verdana" w:hAnsi="Verdana"/>
          <w:color w:val="000000" w:themeColor="text1"/>
          <w:sz w:val="20"/>
          <w:szCs w:val="20"/>
        </w:rPr>
        <w:t xml:space="preserve"> ammettendo nuovi soci al consorzio fino a modifica dell’</w:t>
      </w:r>
      <w:r w:rsidR="001A7554">
        <w:rPr>
          <w:rFonts w:ascii="Verdana" w:hAnsi="Verdana"/>
          <w:color w:val="000000" w:themeColor="text1"/>
          <w:sz w:val="20"/>
          <w:szCs w:val="20"/>
        </w:rPr>
        <w:t>art. 3 dello Statuto del CISS;</w:t>
      </w:r>
    </w:p>
    <w:p w:rsidR="001A7554" w:rsidRDefault="00F55C2A" w:rsidP="00E2584A">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Pr>
          <w:rFonts w:ascii="Verdana" w:hAnsi="Verdana"/>
          <w:color w:val="000000" w:themeColor="text1"/>
          <w:sz w:val="20"/>
          <w:szCs w:val="20"/>
        </w:rPr>
        <w:t>provvedendo</w:t>
      </w:r>
      <w:proofErr w:type="gramEnd"/>
      <w:r>
        <w:rPr>
          <w:rFonts w:ascii="Verdana" w:hAnsi="Verdana"/>
          <w:color w:val="000000" w:themeColor="text1"/>
          <w:sz w:val="20"/>
          <w:szCs w:val="20"/>
        </w:rPr>
        <w:t xml:space="preserve"> </w:t>
      </w:r>
      <w:r w:rsidR="00EF5C09">
        <w:rPr>
          <w:rFonts w:ascii="Verdana" w:hAnsi="Verdana"/>
          <w:color w:val="000000" w:themeColor="text1"/>
          <w:sz w:val="20"/>
          <w:szCs w:val="20"/>
        </w:rPr>
        <w:t>a</w:t>
      </w:r>
      <w:r w:rsidR="001A7554">
        <w:rPr>
          <w:rFonts w:ascii="Verdana" w:hAnsi="Verdana"/>
          <w:color w:val="000000" w:themeColor="text1"/>
          <w:sz w:val="20"/>
          <w:szCs w:val="20"/>
        </w:rPr>
        <w:t xml:space="preserve"> modificare </w:t>
      </w:r>
      <w:r w:rsidR="00EF5C09">
        <w:rPr>
          <w:rFonts w:ascii="Verdana" w:hAnsi="Verdana"/>
          <w:color w:val="000000" w:themeColor="text1"/>
          <w:sz w:val="20"/>
          <w:szCs w:val="20"/>
        </w:rPr>
        <w:t>l’art. 3 del CISS</w:t>
      </w:r>
      <w:r w:rsidR="00506A78">
        <w:rPr>
          <w:rFonts w:ascii="Verdana" w:hAnsi="Verdana"/>
          <w:color w:val="000000" w:themeColor="text1"/>
          <w:sz w:val="20"/>
          <w:szCs w:val="20"/>
        </w:rPr>
        <w:t>,</w:t>
      </w:r>
      <w:r w:rsidR="001A7554">
        <w:rPr>
          <w:rFonts w:ascii="Verdana" w:hAnsi="Verdana"/>
          <w:color w:val="000000" w:themeColor="text1"/>
          <w:sz w:val="20"/>
          <w:szCs w:val="20"/>
        </w:rPr>
        <w:t xml:space="preserve"> eliminando la possibilità di conferimenti automatici</w:t>
      </w:r>
      <w:r w:rsidR="000E34ED">
        <w:rPr>
          <w:rFonts w:ascii="Verdana" w:hAnsi="Verdana"/>
          <w:color w:val="000000" w:themeColor="text1"/>
          <w:sz w:val="20"/>
          <w:szCs w:val="20"/>
        </w:rPr>
        <w:t xml:space="preserve"> di nuove licenze farmaceutiche</w:t>
      </w:r>
      <w:r w:rsidR="001A7554">
        <w:rPr>
          <w:rFonts w:ascii="Verdana" w:hAnsi="Verdana"/>
          <w:color w:val="000000" w:themeColor="text1"/>
          <w:sz w:val="20"/>
          <w:szCs w:val="20"/>
        </w:rPr>
        <w:t xml:space="preserve"> ad I</w:t>
      </w:r>
      <w:r w:rsidR="00BC777E">
        <w:rPr>
          <w:rFonts w:ascii="Verdana" w:hAnsi="Verdana"/>
          <w:color w:val="000000" w:themeColor="text1"/>
          <w:sz w:val="20"/>
          <w:szCs w:val="20"/>
        </w:rPr>
        <w:t>N</w:t>
      </w:r>
      <w:r w:rsidR="001A7554">
        <w:rPr>
          <w:rFonts w:ascii="Verdana" w:hAnsi="Verdana"/>
          <w:color w:val="000000" w:themeColor="text1"/>
          <w:sz w:val="20"/>
          <w:szCs w:val="20"/>
        </w:rPr>
        <w:t>COFARMA;</w:t>
      </w:r>
    </w:p>
    <w:p w:rsidR="001865D9" w:rsidRPr="00E2584A" w:rsidRDefault="00F55C2A" w:rsidP="00E2584A">
      <w:pPr>
        <w:pStyle w:val="Paragrafoelenco"/>
        <w:numPr>
          <w:ilvl w:val="0"/>
          <w:numId w:val="45"/>
        </w:numPr>
        <w:shd w:val="clear" w:color="auto" w:fill="FEFFFF"/>
        <w:spacing w:line="360" w:lineRule="auto"/>
        <w:jc w:val="both"/>
        <w:rPr>
          <w:rFonts w:ascii="Verdana" w:hAnsi="Verdana"/>
          <w:color w:val="000000" w:themeColor="text1"/>
          <w:sz w:val="20"/>
          <w:szCs w:val="20"/>
        </w:rPr>
      </w:pPr>
      <w:proofErr w:type="gramStart"/>
      <w:r>
        <w:rPr>
          <w:rFonts w:ascii="Verdana" w:hAnsi="Verdana"/>
          <w:color w:val="000000" w:themeColor="text1"/>
          <w:sz w:val="20"/>
          <w:szCs w:val="20"/>
        </w:rPr>
        <w:t>adeguando</w:t>
      </w:r>
      <w:proofErr w:type="gramEnd"/>
      <w:r w:rsidR="001A7554">
        <w:rPr>
          <w:rFonts w:ascii="Verdana" w:hAnsi="Verdana"/>
          <w:color w:val="000000" w:themeColor="text1"/>
          <w:sz w:val="20"/>
          <w:szCs w:val="20"/>
        </w:rPr>
        <w:t xml:space="preserve"> il sistema dei controlli interni</w:t>
      </w:r>
      <w:r>
        <w:rPr>
          <w:rFonts w:ascii="Verdana" w:hAnsi="Verdana"/>
          <w:color w:val="000000" w:themeColor="text1"/>
          <w:sz w:val="20"/>
          <w:szCs w:val="20"/>
        </w:rPr>
        <w:t>,</w:t>
      </w:r>
      <w:r w:rsidR="001A7554">
        <w:rPr>
          <w:rFonts w:ascii="Verdana" w:hAnsi="Verdana"/>
          <w:color w:val="000000" w:themeColor="text1"/>
          <w:sz w:val="20"/>
          <w:szCs w:val="20"/>
        </w:rPr>
        <w:t xml:space="preserve"> in misura tale da cons</w:t>
      </w:r>
      <w:r w:rsidR="000E34ED">
        <w:rPr>
          <w:rFonts w:ascii="Verdana" w:hAnsi="Verdana"/>
          <w:color w:val="000000" w:themeColor="text1"/>
          <w:sz w:val="20"/>
          <w:szCs w:val="20"/>
        </w:rPr>
        <w:t>e</w:t>
      </w:r>
      <w:r w:rsidR="001A7554">
        <w:rPr>
          <w:rFonts w:ascii="Verdana" w:hAnsi="Verdana"/>
          <w:color w:val="000000" w:themeColor="text1"/>
          <w:sz w:val="20"/>
          <w:szCs w:val="20"/>
        </w:rPr>
        <w:t>ntire la costante verifica del funzionamento del</w:t>
      </w:r>
      <w:r w:rsidR="000E34ED">
        <w:rPr>
          <w:rFonts w:ascii="Verdana" w:hAnsi="Verdana"/>
          <w:color w:val="000000" w:themeColor="text1"/>
          <w:sz w:val="20"/>
          <w:szCs w:val="20"/>
        </w:rPr>
        <w:t>l</w:t>
      </w:r>
      <w:r w:rsidR="001A7554">
        <w:rPr>
          <w:rFonts w:ascii="Verdana" w:hAnsi="Verdana"/>
          <w:color w:val="000000" w:themeColor="text1"/>
          <w:sz w:val="20"/>
          <w:szCs w:val="20"/>
        </w:rPr>
        <w:t>a società mista</w:t>
      </w:r>
      <w:r w:rsidR="000E34ED">
        <w:rPr>
          <w:rFonts w:ascii="Verdana" w:hAnsi="Verdana"/>
          <w:color w:val="000000" w:themeColor="text1"/>
          <w:sz w:val="20"/>
          <w:szCs w:val="20"/>
        </w:rPr>
        <w:t xml:space="preserve"> indirettamente partecipata no</w:t>
      </w:r>
      <w:r w:rsidR="00BC777E">
        <w:rPr>
          <w:rFonts w:ascii="Verdana" w:hAnsi="Verdana"/>
          <w:color w:val="000000" w:themeColor="text1"/>
          <w:sz w:val="20"/>
          <w:szCs w:val="20"/>
        </w:rPr>
        <w:t>n</w:t>
      </w:r>
      <w:r w:rsidR="000E34ED">
        <w:rPr>
          <w:rFonts w:ascii="Verdana" w:hAnsi="Verdana"/>
          <w:color w:val="000000" w:themeColor="text1"/>
          <w:sz w:val="20"/>
          <w:szCs w:val="20"/>
        </w:rPr>
        <w:t>ché</w:t>
      </w:r>
      <w:r w:rsidR="001A7554">
        <w:rPr>
          <w:rFonts w:ascii="Verdana" w:hAnsi="Verdana"/>
          <w:color w:val="000000" w:themeColor="text1"/>
          <w:sz w:val="20"/>
          <w:szCs w:val="20"/>
        </w:rPr>
        <w:t xml:space="preserve"> l’adeguatezza degli </w:t>
      </w:r>
      <w:proofErr w:type="spellStart"/>
      <w:r w:rsidR="001A7554" w:rsidRPr="00E2584A">
        <w:rPr>
          <w:rFonts w:ascii="Verdana" w:hAnsi="Verdana"/>
          <w:i/>
          <w:color w:val="000000" w:themeColor="text1"/>
          <w:sz w:val="20"/>
          <w:szCs w:val="20"/>
        </w:rPr>
        <w:t>income-return</w:t>
      </w:r>
      <w:r w:rsidR="001A7554">
        <w:rPr>
          <w:rFonts w:ascii="Verdana" w:hAnsi="Verdana"/>
          <w:i/>
          <w:color w:val="000000" w:themeColor="text1"/>
          <w:sz w:val="20"/>
          <w:szCs w:val="20"/>
        </w:rPr>
        <w:t>s</w:t>
      </w:r>
      <w:proofErr w:type="spellEnd"/>
      <w:r w:rsidR="000E34ED">
        <w:rPr>
          <w:rFonts w:ascii="Verdana" w:hAnsi="Verdana"/>
          <w:color w:val="000000" w:themeColor="text1"/>
          <w:sz w:val="20"/>
          <w:szCs w:val="20"/>
        </w:rPr>
        <w:t>.</w:t>
      </w:r>
    </w:p>
    <w:p w:rsidR="00FD4F7A" w:rsidRPr="00E2584A" w:rsidRDefault="00FD4F7A" w:rsidP="00E2584A">
      <w:pPr>
        <w:shd w:val="clear" w:color="auto" w:fill="FEFFFF"/>
        <w:spacing w:line="360" w:lineRule="auto"/>
        <w:ind w:firstLine="708"/>
        <w:jc w:val="both"/>
        <w:rPr>
          <w:rFonts w:ascii="Verdana" w:hAnsi="Verdana"/>
          <w:color w:val="000000" w:themeColor="text1"/>
          <w:sz w:val="20"/>
          <w:szCs w:val="20"/>
        </w:rPr>
      </w:pPr>
    </w:p>
    <w:p w:rsidR="00384F25" w:rsidRPr="00E2584A" w:rsidRDefault="00384F25" w:rsidP="00E2584A">
      <w:pPr>
        <w:shd w:val="clear" w:color="auto" w:fill="FEFFFF"/>
        <w:spacing w:line="360" w:lineRule="auto"/>
        <w:ind w:firstLine="708"/>
        <w:jc w:val="both"/>
        <w:rPr>
          <w:rFonts w:ascii="Verdana" w:hAnsi="Verdana"/>
          <w:color w:val="000000" w:themeColor="text1"/>
          <w:sz w:val="20"/>
          <w:szCs w:val="20"/>
        </w:rPr>
      </w:pPr>
    </w:p>
    <w:p w:rsidR="00384F25" w:rsidRPr="00E2584A" w:rsidRDefault="00384F25" w:rsidP="00E2584A">
      <w:pPr>
        <w:shd w:val="clear" w:color="auto" w:fill="FEFFFF"/>
        <w:spacing w:line="360" w:lineRule="auto"/>
        <w:ind w:firstLine="708"/>
        <w:jc w:val="both"/>
        <w:rPr>
          <w:rFonts w:ascii="Verdana" w:hAnsi="Verdana"/>
          <w:color w:val="000000" w:themeColor="text1"/>
          <w:sz w:val="20"/>
          <w:szCs w:val="20"/>
        </w:rPr>
      </w:pPr>
    </w:p>
    <w:p w:rsidR="00384F25" w:rsidRPr="00E2584A" w:rsidRDefault="00384F25" w:rsidP="00E2584A">
      <w:pPr>
        <w:shd w:val="clear" w:color="auto" w:fill="FEFFFF"/>
        <w:spacing w:line="360" w:lineRule="auto"/>
        <w:ind w:firstLine="708"/>
        <w:jc w:val="both"/>
        <w:rPr>
          <w:rFonts w:ascii="Verdana" w:hAnsi="Verdana"/>
          <w:color w:val="000000" w:themeColor="text1"/>
          <w:sz w:val="20"/>
          <w:szCs w:val="20"/>
        </w:rPr>
      </w:pPr>
    </w:p>
    <w:p w:rsidR="00384F25" w:rsidRPr="00E2584A" w:rsidRDefault="00384F25" w:rsidP="00E2584A">
      <w:pPr>
        <w:shd w:val="clear" w:color="auto" w:fill="FEFFFF"/>
        <w:spacing w:line="360" w:lineRule="auto"/>
        <w:ind w:firstLine="708"/>
        <w:jc w:val="both"/>
        <w:rPr>
          <w:rFonts w:ascii="Verdana" w:hAnsi="Verdana"/>
          <w:i/>
          <w:color w:val="000000" w:themeColor="text1"/>
          <w:sz w:val="15"/>
          <w:szCs w:val="20"/>
        </w:rPr>
      </w:pPr>
      <w:r w:rsidRPr="00E2584A">
        <w:rPr>
          <w:rFonts w:ascii="Verdana" w:hAnsi="Verdana"/>
          <w:i/>
          <w:color w:val="000000" w:themeColor="text1"/>
          <w:sz w:val="15"/>
          <w:szCs w:val="20"/>
        </w:rPr>
        <w:t>Ha collaborato all</w:t>
      </w:r>
      <w:r w:rsidR="00E97948">
        <w:rPr>
          <w:rFonts w:ascii="Verdana" w:hAnsi="Verdana"/>
          <w:i/>
          <w:color w:val="000000" w:themeColor="text1"/>
          <w:sz w:val="15"/>
          <w:szCs w:val="20"/>
        </w:rPr>
        <w:t xml:space="preserve">’istruttoria la </w:t>
      </w:r>
      <w:proofErr w:type="spellStart"/>
      <w:r w:rsidRPr="00E2584A">
        <w:rPr>
          <w:rFonts w:ascii="Verdana" w:hAnsi="Verdana"/>
          <w:i/>
          <w:color w:val="000000" w:themeColor="text1"/>
          <w:sz w:val="15"/>
          <w:szCs w:val="20"/>
        </w:rPr>
        <w:t>D.ssa</w:t>
      </w:r>
      <w:proofErr w:type="spellEnd"/>
      <w:r w:rsidRPr="00E2584A">
        <w:rPr>
          <w:rFonts w:ascii="Verdana" w:hAnsi="Verdana"/>
          <w:i/>
          <w:color w:val="000000" w:themeColor="text1"/>
          <w:sz w:val="15"/>
          <w:szCs w:val="20"/>
        </w:rPr>
        <w:t xml:space="preserve"> Mariella Iacono</w:t>
      </w:r>
    </w:p>
    <w:sectPr w:rsidR="00384F25" w:rsidRPr="00E2584A" w:rsidSect="00264DCB">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8B" w:rsidRDefault="00D8018B" w:rsidP="00264DCB">
      <w:r>
        <w:separator/>
      </w:r>
    </w:p>
  </w:endnote>
  <w:endnote w:type="continuationSeparator" w:id="0">
    <w:p w:rsidR="00D8018B" w:rsidRDefault="00D8018B" w:rsidP="0026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E4" w:rsidRDefault="00AE4EE4">
    <w:pPr>
      <w:pStyle w:val="Pidipagina"/>
      <w:tabs>
        <w:tab w:val="clear" w:pos="9638"/>
        <w:tab w:val="right" w:pos="9612"/>
      </w:tabs>
      <w:jc w:val="right"/>
    </w:pPr>
    <w:r>
      <w:fldChar w:fldCharType="begin"/>
    </w:r>
    <w:r>
      <w:instrText xml:space="preserve"> PAGE </w:instrText>
    </w:r>
    <w:r>
      <w:fldChar w:fldCharType="separate"/>
    </w:r>
    <w:r w:rsidR="00663A5E">
      <w:rPr>
        <w:noProof/>
      </w:rPr>
      <w:t>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8B" w:rsidRDefault="00D8018B" w:rsidP="00264DCB">
      <w:r>
        <w:separator/>
      </w:r>
    </w:p>
  </w:footnote>
  <w:footnote w:type="continuationSeparator" w:id="0">
    <w:p w:rsidR="00D8018B" w:rsidRDefault="00D8018B" w:rsidP="00264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FA7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63AAE"/>
    <w:multiLevelType w:val="multilevel"/>
    <w:tmpl w:val="A5B223FC"/>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2" w15:restartNumberingAfterBreak="0">
    <w:nsid w:val="0F026A3A"/>
    <w:multiLevelType w:val="hybridMultilevel"/>
    <w:tmpl w:val="ACDE56F0"/>
    <w:lvl w:ilvl="0" w:tplc="8D44D65A">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201513D"/>
    <w:multiLevelType w:val="multilevel"/>
    <w:tmpl w:val="95C88182"/>
    <w:lvl w:ilvl="0">
      <w:numFmt w:val="bullet"/>
      <w:lvlText w:val="-"/>
      <w:lvlJc w:val="left"/>
      <w:pPr>
        <w:tabs>
          <w:tab w:val="num" w:pos="994"/>
        </w:tabs>
        <w:ind w:left="994" w:hanging="640"/>
      </w:pPr>
      <w:rPr>
        <w:rFonts w:ascii="Verdana" w:eastAsia="Verdana" w:hAnsi="Verdana" w:cs="Verdana"/>
        <w:position w:val="0"/>
        <w:sz w:val="24"/>
        <w:szCs w:val="24"/>
      </w:rPr>
    </w:lvl>
    <w:lvl w:ilvl="1">
      <w:start w:val="1"/>
      <w:numFmt w:val="bullet"/>
      <w:lvlText w:val="o"/>
      <w:lvlJc w:val="left"/>
      <w:pPr>
        <w:tabs>
          <w:tab w:val="num" w:pos="1374"/>
        </w:tabs>
        <w:ind w:left="1374" w:hanging="300"/>
      </w:pPr>
      <w:rPr>
        <w:rFonts w:ascii="Verdana" w:eastAsia="Verdana" w:hAnsi="Verdana" w:cs="Verdana"/>
        <w:position w:val="0"/>
        <w:sz w:val="20"/>
        <w:szCs w:val="20"/>
      </w:rPr>
    </w:lvl>
    <w:lvl w:ilvl="2">
      <w:start w:val="1"/>
      <w:numFmt w:val="bullet"/>
      <w:lvlText w:val="▪"/>
      <w:lvlJc w:val="left"/>
      <w:pPr>
        <w:tabs>
          <w:tab w:val="num" w:pos="2094"/>
        </w:tabs>
        <w:ind w:left="2094" w:hanging="300"/>
      </w:pPr>
      <w:rPr>
        <w:rFonts w:ascii="Verdana" w:eastAsia="Verdana" w:hAnsi="Verdana" w:cs="Verdana"/>
        <w:position w:val="0"/>
        <w:sz w:val="20"/>
        <w:szCs w:val="20"/>
      </w:rPr>
    </w:lvl>
    <w:lvl w:ilvl="3">
      <w:start w:val="1"/>
      <w:numFmt w:val="bullet"/>
      <w:lvlText w:val="•"/>
      <w:lvlJc w:val="left"/>
      <w:pPr>
        <w:tabs>
          <w:tab w:val="num" w:pos="2814"/>
        </w:tabs>
        <w:ind w:left="2814" w:hanging="300"/>
      </w:pPr>
      <w:rPr>
        <w:rFonts w:ascii="Verdana" w:eastAsia="Verdana" w:hAnsi="Verdana" w:cs="Verdana"/>
        <w:position w:val="0"/>
        <w:sz w:val="20"/>
        <w:szCs w:val="20"/>
      </w:rPr>
    </w:lvl>
    <w:lvl w:ilvl="4">
      <w:start w:val="1"/>
      <w:numFmt w:val="bullet"/>
      <w:lvlText w:val="o"/>
      <w:lvlJc w:val="left"/>
      <w:pPr>
        <w:tabs>
          <w:tab w:val="num" w:pos="3534"/>
        </w:tabs>
        <w:ind w:left="3534" w:hanging="300"/>
      </w:pPr>
      <w:rPr>
        <w:rFonts w:ascii="Verdana" w:eastAsia="Verdana" w:hAnsi="Verdana" w:cs="Verdana"/>
        <w:position w:val="0"/>
        <w:sz w:val="20"/>
        <w:szCs w:val="20"/>
      </w:rPr>
    </w:lvl>
    <w:lvl w:ilvl="5">
      <w:start w:val="1"/>
      <w:numFmt w:val="bullet"/>
      <w:lvlText w:val="▪"/>
      <w:lvlJc w:val="left"/>
      <w:pPr>
        <w:tabs>
          <w:tab w:val="num" w:pos="4254"/>
        </w:tabs>
        <w:ind w:left="4254" w:hanging="300"/>
      </w:pPr>
      <w:rPr>
        <w:rFonts w:ascii="Verdana" w:eastAsia="Verdana" w:hAnsi="Verdana" w:cs="Verdana"/>
        <w:position w:val="0"/>
        <w:sz w:val="20"/>
        <w:szCs w:val="20"/>
      </w:rPr>
    </w:lvl>
    <w:lvl w:ilvl="6">
      <w:start w:val="1"/>
      <w:numFmt w:val="bullet"/>
      <w:lvlText w:val="•"/>
      <w:lvlJc w:val="left"/>
      <w:pPr>
        <w:tabs>
          <w:tab w:val="num" w:pos="4974"/>
        </w:tabs>
        <w:ind w:left="4974" w:hanging="300"/>
      </w:pPr>
      <w:rPr>
        <w:rFonts w:ascii="Verdana" w:eastAsia="Verdana" w:hAnsi="Verdana" w:cs="Verdana"/>
        <w:position w:val="0"/>
        <w:sz w:val="20"/>
        <w:szCs w:val="20"/>
      </w:rPr>
    </w:lvl>
    <w:lvl w:ilvl="7">
      <w:start w:val="1"/>
      <w:numFmt w:val="bullet"/>
      <w:lvlText w:val="o"/>
      <w:lvlJc w:val="left"/>
      <w:pPr>
        <w:tabs>
          <w:tab w:val="num" w:pos="5694"/>
        </w:tabs>
        <w:ind w:left="5694" w:hanging="300"/>
      </w:pPr>
      <w:rPr>
        <w:rFonts w:ascii="Verdana" w:eastAsia="Verdana" w:hAnsi="Verdana" w:cs="Verdana"/>
        <w:position w:val="0"/>
        <w:sz w:val="20"/>
        <w:szCs w:val="20"/>
      </w:rPr>
    </w:lvl>
    <w:lvl w:ilvl="8">
      <w:start w:val="1"/>
      <w:numFmt w:val="bullet"/>
      <w:lvlText w:val="▪"/>
      <w:lvlJc w:val="left"/>
      <w:pPr>
        <w:tabs>
          <w:tab w:val="num" w:pos="6414"/>
        </w:tabs>
        <w:ind w:left="6414" w:hanging="300"/>
      </w:pPr>
      <w:rPr>
        <w:rFonts w:ascii="Verdana" w:eastAsia="Verdana" w:hAnsi="Verdana" w:cs="Verdana"/>
        <w:position w:val="0"/>
        <w:sz w:val="20"/>
        <w:szCs w:val="20"/>
      </w:rPr>
    </w:lvl>
  </w:abstractNum>
  <w:abstractNum w:abstractNumId="4" w15:restartNumberingAfterBreak="0">
    <w:nsid w:val="14373B42"/>
    <w:multiLevelType w:val="hybridMultilevel"/>
    <w:tmpl w:val="0A440DB4"/>
    <w:lvl w:ilvl="0" w:tplc="C96E3126">
      <w:start w:val="1"/>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1B5960C1"/>
    <w:multiLevelType w:val="multilevel"/>
    <w:tmpl w:val="507AAA2E"/>
    <w:lvl w:ilvl="0">
      <w:start w:val="1"/>
      <w:numFmt w:val="lowerLetter"/>
      <w:lvlText w:val="%1)"/>
      <w:lvlJc w:val="left"/>
      <w:pPr>
        <w:tabs>
          <w:tab w:val="num" w:pos="300"/>
        </w:tabs>
        <w:ind w:left="300" w:hanging="300"/>
      </w:pPr>
      <w:rPr>
        <w:rFonts w:ascii="Verdana" w:eastAsia="Verdana" w:hAnsi="Verdana" w:cs="Verdana"/>
        <w:position w:val="0"/>
        <w:sz w:val="20"/>
        <w:szCs w:val="20"/>
      </w:rPr>
    </w:lvl>
    <w:lvl w:ilvl="1">
      <w:start w:val="1"/>
      <w:numFmt w:val="bullet"/>
      <w:lvlText w:val="o"/>
      <w:lvlJc w:val="left"/>
      <w:pPr>
        <w:tabs>
          <w:tab w:val="num" w:pos="2088"/>
        </w:tabs>
        <w:ind w:left="2088" w:hanging="300"/>
      </w:pPr>
      <w:rPr>
        <w:rFonts w:ascii="Verdana" w:eastAsia="Verdana" w:hAnsi="Verdana" w:cs="Verdana"/>
        <w:position w:val="0"/>
        <w:sz w:val="20"/>
        <w:szCs w:val="20"/>
      </w:rPr>
    </w:lvl>
    <w:lvl w:ilvl="2">
      <w:start w:val="1"/>
      <w:numFmt w:val="bullet"/>
      <w:lvlText w:val="▪"/>
      <w:lvlJc w:val="left"/>
      <w:pPr>
        <w:tabs>
          <w:tab w:val="num" w:pos="2808"/>
        </w:tabs>
        <w:ind w:left="2808" w:hanging="300"/>
      </w:pPr>
      <w:rPr>
        <w:rFonts w:ascii="Verdana" w:eastAsia="Verdana" w:hAnsi="Verdana" w:cs="Verdana"/>
        <w:position w:val="0"/>
        <w:sz w:val="20"/>
        <w:szCs w:val="20"/>
      </w:rPr>
    </w:lvl>
    <w:lvl w:ilvl="3">
      <w:start w:val="1"/>
      <w:numFmt w:val="bullet"/>
      <w:lvlText w:val="•"/>
      <w:lvlJc w:val="left"/>
      <w:pPr>
        <w:tabs>
          <w:tab w:val="num" w:pos="3528"/>
        </w:tabs>
        <w:ind w:left="3528" w:hanging="300"/>
      </w:pPr>
      <w:rPr>
        <w:rFonts w:ascii="Verdana" w:eastAsia="Verdana" w:hAnsi="Verdana" w:cs="Verdana"/>
        <w:position w:val="0"/>
        <w:sz w:val="20"/>
        <w:szCs w:val="20"/>
      </w:rPr>
    </w:lvl>
    <w:lvl w:ilvl="4">
      <w:start w:val="1"/>
      <w:numFmt w:val="bullet"/>
      <w:lvlText w:val="o"/>
      <w:lvlJc w:val="left"/>
      <w:pPr>
        <w:tabs>
          <w:tab w:val="num" w:pos="4248"/>
        </w:tabs>
        <w:ind w:left="4248" w:hanging="300"/>
      </w:pPr>
      <w:rPr>
        <w:rFonts w:ascii="Verdana" w:eastAsia="Verdana" w:hAnsi="Verdana" w:cs="Verdana"/>
        <w:position w:val="0"/>
        <w:sz w:val="20"/>
        <w:szCs w:val="20"/>
      </w:rPr>
    </w:lvl>
    <w:lvl w:ilvl="5">
      <w:start w:val="1"/>
      <w:numFmt w:val="bullet"/>
      <w:lvlText w:val="▪"/>
      <w:lvlJc w:val="left"/>
      <w:pPr>
        <w:tabs>
          <w:tab w:val="num" w:pos="4968"/>
        </w:tabs>
        <w:ind w:left="4968" w:hanging="300"/>
      </w:pPr>
      <w:rPr>
        <w:rFonts w:ascii="Verdana" w:eastAsia="Verdana" w:hAnsi="Verdana" w:cs="Verdana"/>
        <w:position w:val="0"/>
        <w:sz w:val="20"/>
        <w:szCs w:val="20"/>
      </w:rPr>
    </w:lvl>
    <w:lvl w:ilvl="6">
      <w:start w:val="1"/>
      <w:numFmt w:val="bullet"/>
      <w:lvlText w:val="•"/>
      <w:lvlJc w:val="left"/>
      <w:pPr>
        <w:tabs>
          <w:tab w:val="num" w:pos="5688"/>
        </w:tabs>
        <w:ind w:left="5688" w:hanging="300"/>
      </w:pPr>
      <w:rPr>
        <w:rFonts w:ascii="Verdana" w:eastAsia="Verdana" w:hAnsi="Verdana" w:cs="Verdana"/>
        <w:position w:val="0"/>
        <w:sz w:val="20"/>
        <w:szCs w:val="20"/>
      </w:rPr>
    </w:lvl>
    <w:lvl w:ilvl="7">
      <w:start w:val="1"/>
      <w:numFmt w:val="bullet"/>
      <w:lvlText w:val="o"/>
      <w:lvlJc w:val="left"/>
      <w:pPr>
        <w:tabs>
          <w:tab w:val="num" w:pos="6408"/>
        </w:tabs>
        <w:ind w:left="6408" w:hanging="300"/>
      </w:pPr>
      <w:rPr>
        <w:rFonts w:ascii="Verdana" w:eastAsia="Verdana" w:hAnsi="Verdana" w:cs="Verdana"/>
        <w:position w:val="0"/>
        <w:sz w:val="20"/>
        <w:szCs w:val="20"/>
      </w:rPr>
    </w:lvl>
    <w:lvl w:ilvl="8">
      <w:start w:val="1"/>
      <w:numFmt w:val="bullet"/>
      <w:lvlText w:val="▪"/>
      <w:lvlJc w:val="left"/>
      <w:pPr>
        <w:tabs>
          <w:tab w:val="num" w:pos="7128"/>
        </w:tabs>
        <w:ind w:left="7128" w:hanging="300"/>
      </w:pPr>
      <w:rPr>
        <w:rFonts w:ascii="Verdana" w:eastAsia="Verdana" w:hAnsi="Verdana" w:cs="Verdana"/>
        <w:position w:val="0"/>
        <w:sz w:val="20"/>
        <w:szCs w:val="20"/>
      </w:rPr>
    </w:lvl>
  </w:abstractNum>
  <w:abstractNum w:abstractNumId="6" w15:restartNumberingAfterBreak="0">
    <w:nsid w:val="1E654B03"/>
    <w:multiLevelType w:val="multilevel"/>
    <w:tmpl w:val="F3D0289C"/>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7" w15:restartNumberingAfterBreak="0">
    <w:nsid w:val="1EA30A53"/>
    <w:multiLevelType w:val="multilevel"/>
    <w:tmpl w:val="9C7A67F6"/>
    <w:styleLink w:val="Elenco31"/>
    <w:lvl w:ilvl="0">
      <w:start w:val="1"/>
      <w:numFmt w:val="lowerLetter"/>
      <w:lvlText w:val="%1)"/>
      <w:lvlJc w:val="left"/>
      <w:pPr>
        <w:tabs>
          <w:tab w:val="num" w:pos="300"/>
        </w:tabs>
        <w:ind w:left="300" w:hanging="300"/>
      </w:pPr>
      <w:rPr>
        <w:rFonts w:ascii="Verdana" w:eastAsia="Verdana" w:hAnsi="Verdana" w:cs="Verdana"/>
        <w:position w:val="0"/>
        <w:sz w:val="20"/>
        <w:szCs w:val="20"/>
      </w:rPr>
    </w:lvl>
    <w:lvl w:ilvl="1">
      <w:start w:val="1"/>
      <w:numFmt w:val="bullet"/>
      <w:lvlText w:val="o"/>
      <w:lvlJc w:val="left"/>
      <w:pPr>
        <w:tabs>
          <w:tab w:val="num" w:pos="2088"/>
        </w:tabs>
        <w:ind w:left="2088" w:hanging="300"/>
      </w:pPr>
      <w:rPr>
        <w:rFonts w:ascii="Verdana" w:eastAsia="Verdana" w:hAnsi="Verdana" w:cs="Verdana"/>
        <w:position w:val="0"/>
        <w:sz w:val="20"/>
        <w:szCs w:val="20"/>
      </w:rPr>
    </w:lvl>
    <w:lvl w:ilvl="2">
      <w:start w:val="1"/>
      <w:numFmt w:val="bullet"/>
      <w:lvlText w:val="▪"/>
      <w:lvlJc w:val="left"/>
      <w:pPr>
        <w:tabs>
          <w:tab w:val="num" w:pos="2808"/>
        </w:tabs>
        <w:ind w:left="2808" w:hanging="300"/>
      </w:pPr>
      <w:rPr>
        <w:rFonts w:ascii="Verdana" w:eastAsia="Verdana" w:hAnsi="Verdana" w:cs="Verdana"/>
        <w:position w:val="0"/>
        <w:sz w:val="20"/>
        <w:szCs w:val="20"/>
      </w:rPr>
    </w:lvl>
    <w:lvl w:ilvl="3">
      <w:start w:val="1"/>
      <w:numFmt w:val="bullet"/>
      <w:lvlText w:val="•"/>
      <w:lvlJc w:val="left"/>
      <w:pPr>
        <w:tabs>
          <w:tab w:val="num" w:pos="3528"/>
        </w:tabs>
        <w:ind w:left="3528" w:hanging="300"/>
      </w:pPr>
      <w:rPr>
        <w:rFonts w:ascii="Verdana" w:eastAsia="Verdana" w:hAnsi="Verdana" w:cs="Verdana"/>
        <w:position w:val="0"/>
        <w:sz w:val="20"/>
        <w:szCs w:val="20"/>
      </w:rPr>
    </w:lvl>
    <w:lvl w:ilvl="4">
      <w:start w:val="1"/>
      <w:numFmt w:val="bullet"/>
      <w:lvlText w:val="o"/>
      <w:lvlJc w:val="left"/>
      <w:pPr>
        <w:tabs>
          <w:tab w:val="num" w:pos="4248"/>
        </w:tabs>
        <w:ind w:left="4248" w:hanging="300"/>
      </w:pPr>
      <w:rPr>
        <w:rFonts w:ascii="Verdana" w:eastAsia="Verdana" w:hAnsi="Verdana" w:cs="Verdana"/>
        <w:position w:val="0"/>
        <w:sz w:val="20"/>
        <w:szCs w:val="20"/>
      </w:rPr>
    </w:lvl>
    <w:lvl w:ilvl="5">
      <w:start w:val="1"/>
      <w:numFmt w:val="bullet"/>
      <w:lvlText w:val="▪"/>
      <w:lvlJc w:val="left"/>
      <w:pPr>
        <w:tabs>
          <w:tab w:val="num" w:pos="4968"/>
        </w:tabs>
        <w:ind w:left="4968" w:hanging="300"/>
      </w:pPr>
      <w:rPr>
        <w:rFonts w:ascii="Verdana" w:eastAsia="Verdana" w:hAnsi="Verdana" w:cs="Verdana"/>
        <w:position w:val="0"/>
        <w:sz w:val="20"/>
        <w:szCs w:val="20"/>
      </w:rPr>
    </w:lvl>
    <w:lvl w:ilvl="6">
      <w:start w:val="1"/>
      <w:numFmt w:val="bullet"/>
      <w:lvlText w:val="•"/>
      <w:lvlJc w:val="left"/>
      <w:pPr>
        <w:tabs>
          <w:tab w:val="num" w:pos="5688"/>
        </w:tabs>
        <w:ind w:left="5688" w:hanging="300"/>
      </w:pPr>
      <w:rPr>
        <w:rFonts w:ascii="Verdana" w:eastAsia="Verdana" w:hAnsi="Verdana" w:cs="Verdana"/>
        <w:position w:val="0"/>
        <w:sz w:val="20"/>
        <w:szCs w:val="20"/>
      </w:rPr>
    </w:lvl>
    <w:lvl w:ilvl="7">
      <w:start w:val="1"/>
      <w:numFmt w:val="bullet"/>
      <w:lvlText w:val="o"/>
      <w:lvlJc w:val="left"/>
      <w:pPr>
        <w:tabs>
          <w:tab w:val="num" w:pos="6408"/>
        </w:tabs>
        <w:ind w:left="6408" w:hanging="300"/>
      </w:pPr>
      <w:rPr>
        <w:rFonts w:ascii="Verdana" w:eastAsia="Verdana" w:hAnsi="Verdana" w:cs="Verdana"/>
        <w:position w:val="0"/>
        <w:sz w:val="20"/>
        <w:szCs w:val="20"/>
      </w:rPr>
    </w:lvl>
    <w:lvl w:ilvl="8">
      <w:start w:val="1"/>
      <w:numFmt w:val="bullet"/>
      <w:lvlText w:val="▪"/>
      <w:lvlJc w:val="left"/>
      <w:pPr>
        <w:tabs>
          <w:tab w:val="num" w:pos="7128"/>
        </w:tabs>
        <w:ind w:left="7128" w:hanging="300"/>
      </w:pPr>
      <w:rPr>
        <w:rFonts w:ascii="Verdana" w:eastAsia="Verdana" w:hAnsi="Verdana" w:cs="Verdana"/>
        <w:position w:val="0"/>
        <w:sz w:val="20"/>
        <w:szCs w:val="20"/>
      </w:rPr>
    </w:lvl>
  </w:abstractNum>
  <w:abstractNum w:abstractNumId="8" w15:restartNumberingAfterBreak="0">
    <w:nsid w:val="203A7A54"/>
    <w:multiLevelType w:val="multilevel"/>
    <w:tmpl w:val="82F097D4"/>
    <w:lvl w:ilvl="0">
      <w:numFmt w:val="bullet"/>
      <w:lvlText w:val="-"/>
      <w:lvlJc w:val="left"/>
      <w:pPr>
        <w:tabs>
          <w:tab w:val="num" w:pos="572"/>
        </w:tabs>
        <w:ind w:left="218" w:firstLine="136"/>
      </w:pPr>
      <w:rPr>
        <w:rFonts w:ascii="Verdana" w:eastAsia="Verdana" w:hAnsi="Verdana" w:cs="Verdana"/>
        <w:b/>
        <w:bCs/>
        <w:position w:val="4"/>
        <w:sz w:val="24"/>
        <w:szCs w:val="24"/>
      </w:rPr>
    </w:lvl>
    <w:lvl w:ilvl="1">
      <w:start w:val="1"/>
      <w:numFmt w:val="bullet"/>
      <w:lvlText w:val="-"/>
      <w:lvlJc w:val="left"/>
      <w:pPr>
        <w:tabs>
          <w:tab w:val="num" w:pos="812"/>
        </w:tabs>
        <w:ind w:left="458" w:firstLine="136"/>
      </w:pPr>
      <w:rPr>
        <w:rFonts w:ascii="Verdana" w:eastAsia="Verdana" w:hAnsi="Verdana" w:cs="Verdana"/>
        <w:b/>
        <w:bCs/>
        <w:position w:val="4"/>
        <w:sz w:val="24"/>
        <w:szCs w:val="24"/>
      </w:rPr>
    </w:lvl>
    <w:lvl w:ilvl="2">
      <w:start w:val="1"/>
      <w:numFmt w:val="bullet"/>
      <w:lvlText w:val="-"/>
      <w:lvlJc w:val="left"/>
      <w:pPr>
        <w:tabs>
          <w:tab w:val="num" w:pos="1052"/>
        </w:tabs>
        <w:ind w:left="698" w:firstLine="136"/>
      </w:pPr>
      <w:rPr>
        <w:rFonts w:ascii="Verdana" w:eastAsia="Verdana" w:hAnsi="Verdana" w:cs="Verdana"/>
        <w:b/>
        <w:bCs/>
        <w:position w:val="4"/>
        <w:sz w:val="24"/>
        <w:szCs w:val="24"/>
      </w:rPr>
    </w:lvl>
    <w:lvl w:ilvl="3">
      <w:start w:val="1"/>
      <w:numFmt w:val="bullet"/>
      <w:lvlText w:val="-"/>
      <w:lvlJc w:val="left"/>
      <w:pPr>
        <w:tabs>
          <w:tab w:val="num" w:pos="1292"/>
        </w:tabs>
        <w:ind w:left="938" w:firstLine="136"/>
      </w:pPr>
      <w:rPr>
        <w:rFonts w:ascii="Verdana" w:eastAsia="Verdana" w:hAnsi="Verdana" w:cs="Verdana"/>
        <w:b/>
        <w:bCs/>
        <w:position w:val="4"/>
        <w:sz w:val="24"/>
        <w:szCs w:val="24"/>
      </w:rPr>
    </w:lvl>
    <w:lvl w:ilvl="4">
      <w:start w:val="1"/>
      <w:numFmt w:val="bullet"/>
      <w:lvlText w:val="-"/>
      <w:lvlJc w:val="left"/>
      <w:pPr>
        <w:tabs>
          <w:tab w:val="num" w:pos="1532"/>
        </w:tabs>
        <w:ind w:left="1178" w:firstLine="136"/>
      </w:pPr>
      <w:rPr>
        <w:rFonts w:ascii="Verdana" w:eastAsia="Verdana" w:hAnsi="Verdana" w:cs="Verdana"/>
        <w:b/>
        <w:bCs/>
        <w:position w:val="4"/>
        <w:sz w:val="24"/>
        <w:szCs w:val="24"/>
      </w:rPr>
    </w:lvl>
    <w:lvl w:ilvl="5">
      <w:start w:val="1"/>
      <w:numFmt w:val="bullet"/>
      <w:lvlText w:val="-"/>
      <w:lvlJc w:val="left"/>
      <w:pPr>
        <w:tabs>
          <w:tab w:val="num" w:pos="1772"/>
        </w:tabs>
        <w:ind w:left="1418" w:firstLine="136"/>
      </w:pPr>
      <w:rPr>
        <w:rFonts w:ascii="Verdana" w:eastAsia="Verdana" w:hAnsi="Verdana" w:cs="Verdana"/>
        <w:b/>
        <w:bCs/>
        <w:position w:val="4"/>
        <w:sz w:val="24"/>
        <w:szCs w:val="24"/>
      </w:rPr>
    </w:lvl>
    <w:lvl w:ilvl="6">
      <w:start w:val="1"/>
      <w:numFmt w:val="bullet"/>
      <w:lvlText w:val="-"/>
      <w:lvlJc w:val="left"/>
      <w:pPr>
        <w:tabs>
          <w:tab w:val="num" w:pos="2012"/>
        </w:tabs>
        <w:ind w:left="1658" w:firstLine="136"/>
      </w:pPr>
      <w:rPr>
        <w:rFonts w:ascii="Verdana" w:eastAsia="Verdana" w:hAnsi="Verdana" w:cs="Verdana"/>
        <w:b/>
        <w:bCs/>
        <w:position w:val="4"/>
        <w:sz w:val="24"/>
        <w:szCs w:val="24"/>
      </w:rPr>
    </w:lvl>
    <w:lvl w:ilvl="7">
      <w:start w:val="1"/>
      <w:numFmt w:val="bullet"/>
      <w:lvlText w:val="-"/>
      <w:lvlJc w:val="left"/>
      <w:pPr>
        <w:tabs>
          <w:tab w:val="num" w:pos="2252"/>
        </w:tabs>
        <w:ind w:left="1898" w:firstLine="136"/>
      </w:pPr>
      <w:rPr>
        <w:rFonts w:ascii="Verdana" w:eastAsia="Verdana" w:hAnsi="Verdana" w:cs="Verdana"/>
        <w:b/>
        <w:bCs/>
        <w:position w:val="4"/>
        <w:sz w:val="24"/>
        <w:szCs w:val="24"/>
      </w:rPr>
    </w:lvl>
    <w:lvl w:ilvl="8">
      <w:start w:val="1"/>
      <w:numFmt w:val="bullet"/>
      <w:lvlText w:val="-"/>
      <w:lvlJc w:val="left"/>
      <w:pPr>
        <w:tabs>
          <w:tab w:val="num" w:pos="2492"/>
        </w:tabs>
        <w:ind w:left="2138" w:firstLine="136"/>
      </w:pPr>
      <w:rPr>
        <w:rFonts w:ascii="Verdana" w:eastAsia="Verdana" w:hAnsi="Verdana" w:cs="Verdana"/>
        <w:b/>
        <w:bCs/>
        <w:position w:val="4"/>
        <w:sz w:val="24"/>
        <w:szCs w:val="24"/>
      </w:rPr>
    </w:lvl>
  </w:abstractNum>
  <w:abstractNum w:abstractNumId="9" w15:restartNumberingAfterBreak="0">
    <w:nsid w:val="213A547D"/>
    <w:multiLevelType w:val="multilevel"/>
    <w:tmpl w:val="EC482D1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214C0788"/>
    <w:multiLevelType w:val="hybridMultilevel"/>
    <w:tmpl w:val="7B6C74BE"/>
    <w:lvl w:ilvl="0" w:tplc="070CD400">
      <w:start w:val="4"/>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CE4F01"/>
    <w:multiLevelType w:val="multilevel"/>
    <w:tmpl w:val="4DE6FD5A"/>
    <w:styleLink w:val="Trattino"/>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12" w15:restartNumberingAfterBreak="0">
    <w:nsid w:val="267164D8"/>
    <w:multiLevelType w:val="multilevel"/>
    <w:tmpl w:val="EE2CA780"/>
    <w:lvl w:ilvl="0">
      <w:numFmt w:val="bullet"/>
      <w:lvlText w:val="-"/>
      <w:lvlJc w:val="left"/>
      <w:pPr>
        <w:tabs>
          <w:tab w:val="num" w:pos="572"/>
        </w:tabs>
        <w:ind w:left="218" w:firstLine="136"/>
      </w:pPr>
      <w:rPr>
        <w:rFonts w:ascii="Verdana" w:eastAsia="Verdana" w:hAnsi="Verdana" w:cs="Verdana"/>
        <w:b/>
        <w:bCs/>
        <w:position w:val="4"/>
        <w:sz w:val="24"/>
        <w:szCs w:val="24"/>
      </w:rPr>
    </w:lvl>
    <w:lvl w:ilvl="1">
      <w:start w:val="1"/>
      <w:numFmt w:val="bullet"/>
      <w:lvlText w:val="-"/>
      <w:lvlJc w:val="left"/>
      <w:pPr>
        <w:tabs>
          <w:tab w:val="num" w:pos="812"/>
        </w:tabs>
        <w:ind w:left="458" w:firstLine="136"/>
      </w:pPr>
      <w:rPr>
        <w:rFonts w:ascii="Verdana" w:eastAsia="Verdana" w:hAnsi="Verdana" w:cs="Verdana"/>
        <w:b/>
        <w:bCs/>
        <w:position w:val="4"/>
        <w:sz w:val="24"/>
        <w:szCs w:val="24"/>
      </w:rPr>
    </w:lvl>
    <w:lvl w:ilvl="2">
      <w:start w:val="1"/>
      <w:numFmt w:val="bullet"/>
      <w:lvlText w:val="-"/>
      <w:lvlJc w:val="left"/>
      <w:pPr>
        <w:tabs>
          <w:tab w:val="num" w:pos="1052"/>
        </w:tabs>
        <w:ind w:left="698" w:firstLine="136"/>
      </w:pPr>
      <w:rPr>
        <w:rFonts w:ascii="Verdana" w:eastAsia="Verdana" w:hAnsi="Verdana" w:cs="Verdana"/>
        <w:b/>
        <w:bCs/>
        <w:position w:val="4"/>
        <w:sz w:val="24"/>
        <w:szCs w:val="24"/>
      </w:rPr>
    </w:lvl>
    <w:lvl w:ilvl="3">
      <w:start w:val="1"/>
      <w:numFmt w:val="bullet"/>
      <w:lvlText w:val="-"/>
      <w:lvlJc w:val="left"/>
      <w:pPr>
        <w:tabs>
          <w:tab w:val="num" w:pos="1292"/>
        </w:tabs>
        <w:ind w:left="938" w:firstLine="136"/>
      </w:pPr>
      <w:rPr>
        <w:rFonts w:ascii="Verdana" w:eastAsia="Verdana" w:hAnsi="Verdana" w:cs="Verdana"/>
        <w:b/>
        <w:bCs/>
        <w:position w:val="4"/>
        <w:sz w:val="24"/>
        <w:szCs w:val="24"/>
      </w:rPr>
    </w:lvl>
    <w:lvl w:ilvl="4">
      <w:start w:val="1"/>
      <w:numFmt w:val="bullet"/>
      <w:lvlText w:val="-"/>
      <w:lvlJc w:val="left"/>
      <w:pPr>
        <w:tabs>
          <w:tab w:val="num" w:pos="1532"/>
        </w:tabs>
        <w:ind w:left="1178" w:firstLine="136"/>
      </w:pPr>
      <w:rPr>
        <w:rFonts w:ascii="Verdana" w:eastAsia="Verdana" w:hAnsi="Verdana" w:cs="Verdana"/>
        <w:b/>
        <w:bCs/>
        <w:position w:val="4"/>
        <w:sz w:val="24"/>
        <w:szCs w:val="24"/>
      </w:rPr>
    </w:lvl>
    <w:lvl w:ilvl="5">
      <w:start w:val="1"/>
      <w:numFmt w:val="bullet"/>
      <w:lvlText w:val="-"/>
      <w:lvlJc w:val="left"/>
      <w:pPr>
        <w:tabs>
          <w:tab w:val="num" w:pos="1772"/>
        </w:tabs>
        <w:ind w:left="1418" w:firstLine="136"/>
      </w:pPr>
      <w:rPr>
        <w:rFonts w:ascii="Verdana" w:eastAsia="Verdana" w:hAnsi="Verdana" w:cs="Verdana"/>
        <w:b/>
        <w:bCs/>
        <w:position w:val="4"/>
        <w:sz w:val="24"/>
        <w:szCs w:val="24"/>
      </w:rPr>
    </w:lvl>
    <w:lvl w:ilvl="6">
      <w:start w:val="1"/>
      <w:numFmt w:val="bullet"/>
      <w:lvlText w:val="-"/>
      <w:lvlJc w:val="left"/>
      <w:pPr>
        <w:tabs>
          <w:tab w:val="num" w:pos="2012"/>
        </w:tabs>
        <w:ind w:left="1658" w:firstLine="136"/>
      </w:pPr>
      <w:rPr>
        <w:rFonts w:ascii="Verdana" w:eastAsia="Verdana" w:hAnsi="Verdana" w:cs="Verdana"/>
        <w:b/>
        <w:bCs/>
        <w:position w:val="4"/>
        <w:sz w:val="24"/>
        <w:szCs w:val="24"/>
      </w:rPr>
    </w:lvl>
    <w:lvl w:ilvl="7">
      <w:start w:val="1"/>
      <w:numFmt w:val="bullet"/>
      <w:lvlText w:val="-"/>
      <w:lvlJc w:val="left"/>
      <w:pPr>
        <w:tabs>
          <w:tab w:val="num" w:pos="2252"/>
        </w:tabs>
        <w:ind w:left="1898" w:firstLine="136"/>
      </w:pPr>
      <w:rPr>
        <w:rFonts w:ascii="Verdana" w:eastAsia="Verdana" w:hAnsi="Verdana" w:cs="Verdana"/>
        <w:b/>
        <w:bCs/>
        <w:position w:val="4"/>
        <w:sz w:val="24"/>
        <w:szCs w:val="24"/>
      </w:rPr>
    </w:lvl>
    <w:lvl w:ilvl="8">
      <w:start w:val="1"/>
      <w:numFmt w:val="bullet"/>
      <w:lvlText w:val="-"/>
      <w:lvlJc w:val="left"/>
      <w:pPr>
        <w:tabs>
          <w:tab w:val="num" w:pos="2492"/>
        </w:tabs>
        <w:ind w:left="2138" w:firstLine="136"/>
      </w:pPr>
      <w:rPr>
        <w:rFonts w:ascii="Verdana" w:eastAsia="Verdana" w:hAnsi="Verdana" w:cs="Verdana"/>
        <w:b/>
        <w:bCs/>
        <w:position w:val="4"/>
        <w:sz w:val="24"/>
        <w:szCs w:val="24"/>
      </w:rPr>
    </w:lvl>
  </w:abstractNum>
  <w:abstractNum w:abstractNumId="13" w15:restartNumberingAfterBreak="0">
    <w:nsid w:val="26B10BBA"/>
    <w:multiLevelType w:val="multilevel"/>
    <w:tmpl w:val="42E83C8E"/>
    <w:styleLink w:val="List0"/>
    <w:lvl w:ilvl="0">
      <w:numFmt w:val="bullet"/>
      <w:lvlText w:val="-"/>
      <w:lvlJc w:val="left"/>
      <w:pPr>
        <w:tabs>
          <w:tab w:val="num" w:pos="994"/>
        </w:tabs>
        <w:ind w:left="994" w:hanging="640"/>
      </w:pPr>
      <w:rPr>
        <w:rFonts w:ascii="Verdana" w:eastAsia="Verdana" w:hAnsi="Verdana" w:cs="Verdana"/>
        <w:position w:val="0"/>
        <w:sz w:val="24"/>
        <w:szCs w:val="24"/>
      </w:rPr>
    </w:lvl>
    <w:lvl w:ilvl="1">
      <w:start w:val="1"/>
      <w:numFmt w:val="bullet"/>
      <w:lvlText w:val="o"/>
      <w:lvlJc w:val="left"/>
      <w:pPr>
        <w:tabs>
          <w:tab w:val="num" w:pos="1374"/>
        </w:tabs>
        <w:ind w:left="1374" w:hanging="300"/>
      </w:pPr>
      <w:rPr>
        <w:rFonts w:ascii="Verdana" w:eastAsia="Verdana" w:hAnsi="Verdana" w:cs="Verdana"/>
        <w:position w:val="0"/>
        <w:sz w:val="20"/>
        <w:szCs w:val="20"/>
      </w:rPr>
    </w:lvl>
    <w:lvl w:ilvl="2">
      <w:start w:val="1"/>
      <w:numFmt w:val="bullet"/>
      <w:lvlText w:val="▪"/>
      <w:lvlJc w:val="left"/>
      <w:pPr>
        <w:tabs>
          <w:tab w:val="num" w:pos="2094"/>
        </w:tabs>
        <w:ind w:left="2094" w:hanging="300"/>
      </w:pPr>
      <w:rPr>
        <w:rFonts w:ascii="Verdana" w:eastAsia="Verdana" w:hAnsi="Verdana" w:cs="Verdana"/>
        <w:position w:val="0"/>
        <w:sz w:val="20"/>
        <w:szCs w:val="20"/>
      </w:rPr>
    </w:lvl>
    <w:lvl w:ilvl="3">
      <w:start w:val="1"/>
      <w:numFmt w:val="bullet"/>
      <w:lvlText w:val="•"/>
      <w:lvlJc w:val="left"/>
      <w:pPr>
        <w:tabs>
          <w:tab w:val="num" w:pos="2814"/>
        </w:tabs>
        <w:ind w:left="2814" w:hanging="300"/>
      </w:pPr>
      <w:rPr>
        <w:rFonts w:ascii="Verdana" w:eastAsia="Verdana" w:hAnsi="Verdana" w:cs="Verdana"/>
        <w:position w:val="0"/>
        <w:sz w:val="20"/>
        <w:szCs w:val="20"/>
      </w:rPr>
    </w:lvl>
    <w:lvl w:ilvl="4">
      <w:start w:val="1"/>
      <w:numFmt w:val="bullet"/>
      <w:lvlText w:val="o"/>
      <w:lvlJc w:val="left"/>
      <w:pPr>
        <w:tabs>
          <w:tab w:val="num" w:pos="3534"/>
        </w:tabs>
        <w:ind w:left="3534" w:hanging="300"/>
      </w:pPr>
      <w:rPr>
        <w:rFonts w:ascii="Verdana" w:eastAsia="Verdana" w:hAnsi="Verdana" w:cs="Verdana"/>
        <w:position w:val="0"/>
        <w:sz w:val="20"/>
        <w:szCs w:val="20"/>
      </w:rPr>
    </w:lvl>
    <w:lvl w:ilvl="5">
      <w:start w:val="1"/>
      <w:numFmt w:val="bullet"/>
      <w:lvlText w:val="▪"/>
      <w:lvlJc w:val="left"/>
      <w:pPr>
        <w:tabs>
          <w:tab w:val="num" w:pos="4254"/>
        </w:tabs>
        <w:ind w:left="4254" w:hanging="300"/>
      </w:pPr>
      <w:rPr>
        <w:rFonts w:ascii="Verdana" w:eastAsia="Verdana" w:hAnsi="Verdana" w:cs="Verdana"/>
        <w:position w:val="0"/>
        <w:sz w:val="20"/>
        <w:szCs w:val="20"/>
      </w:rPr>
    </w:lvl>
    <w:lvl w:ilvl="6">
      <w:start w:val="1"/>
      <w:numFmt w:val="bullet"/>
      <w:lvlText w:val="•"/>
      <w:lvlJc w:val="left"/>
      <w:pPr>
        <w:tabs>
          <w:tab w:val="num" w:pos="4974"/>
        </w:tabs>
        <w:ind w:left="4974" w:hanging="300"/>
      </w:pPr>
      <w:rPr>
        <w:rFonts w:ascii="Verdana" w:eastAsia="Verdana" w:hAnsi="Verdana" w:cs="Verdana"/>
        <w:position w:val="0"/>
        <w:sz w:val="20"/>
        <w:szCs w:val="20"/>
      </w:rPr>
    </w:lvl>
    <w:lvl w:ilvl="7">
      <w:start w:val="1"/>
      <w:numFmt w:val="bullet"/>
      <w:lvlText w:val="o"/>
      <w:lvlJc w:val="left"/>
      <w:pPr>
        <w:tabs>
          <w:tab w:val="num" w:pos="5694"/>
        </w:tabs>
        <w:ind w:left="5694" w:hanging="300"/>
      </w:pPr>
      <w:rPr>
        <w:rFonts w:ascii="Verdana" w:eastAsia="Verdana" w:hAnsi="Verdana" w:cs="Verdana"/>
        <w:position w:val="0"/>
        <w:sz w:val="20"/>
        <w:szCs w:val="20"/>
      </w:rPr>
    </w:lvl>
    <w:lvl w:ilvl="8">
      <w:start w:val="1"/>
      <w:numFmt w:val="bullet"/>
      <w:lvlText w:val="▪"/>
      <w:lvlJc w:val="left"/>
      <w:pPr>
        <w:tabs>
          <w:tab w:val="num" w:pos="6414"/>
        </w:tabs>
        <w:ind w:left="6414" w:hanging="300"/>
      </w:pPr>
      <w:rPr>
        <w:rFonts w:ascii="Verdana" w:eastAsia="Verdana" w:hAnsi="Verdana" w:cs="Verdana"/>
        <w:position w:val="0"/>
        <w:sz w:val="20"/>
        <w:szCs w:val="20"/>
      </w:rPr>
    </w:lvl>
  </w:abstractNum>
  <w:abstractNum w:abstractNumId="14" w15:restartNumberingAfterBreak="0">
    <w:nsid w:val="288E0E89"/>
    <w:multiLevelType w:val="hybridMultilevel"/>
    <w:tmpl w:val="6612474A"/>
    <w:lvl w:ilvl="0" w:tplc="83EEAE9E">
      <w:start w:val="1"/>
      <w:numFmt w:val="decimal"/>
      <w:lvlText w:val="%1)"/>
      <w:lvlJc w:val="left"/>
      <w:pPr>
        <w:ind w:left="720" w:hanging="360"/>
      </w:pPr>
      <w:rPr>
        <w:rFonts w:asciiTheme="minorHAnsi" w:hAnsiTheme="min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2B3CD2"/>
    <w:multiLevelType w:val="hybridMultilevel"/>
    <w:tmpl w:val="EB4EC880"/>
    <w:lvl w:ilvl="0" w:tplc="5D94582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FF0486E"/>
    <w:multiLevelType w:val="multilevel"/>
    <w:tmpl w:val="AD6CAC04"/>
    <w:lvl w:ilvl="0">
      <w:numFmt w:val="bullet"/>
      <w:lvlText w:val="-"/>
      <w:lvlJc w:val="left"/>
      <w:pPr>
        <w:tabs>
          <w:tab w:val="num" w:pos="994"/>
        </w:tabs>
        <w:ind w:left="994" w:hanging="640"/>
      </w:pPr>
      <w:rPr>
        <w:rFonts w:ascii="Verdana" w:eastAsia="Verdana" w:hAnsi="Verdana" w:cs="Verdana"/>
        <w:position w:val="0"/>
        <w:sz w:val="24"/>
        <w:szCs w:val="24"/>
      </w:rPr>
    </w:lvl>
    <w:lvl w:ilvl="1">
      <w:start w:val="1"/>
      <w:numFmt w:val="bullet"/>
      <w:lvlText w:val="o"/>
      <w:lvlJc w:val="left"/>
      <w:pPr>
        <w:tabs>
          <w:tab w:val="num" w:pos="1374"/>
        </w:tabs>
        <w:ind w:left="1374" w:hanging="300"/>
      </w:pPr>
      <w:rPr>
        <w:rFonts w:ascii="Verdana" w:eastAsia="Verdana" w:hAnsi="Verdana" w:cs="Verdana"/>
        <w:position w:val="0"/>
        <w:sz w:val="20"/>
        <w:szCs w:val="20"/>
      </w:rPr>
    </w:lvl>
    <w:lvl w:ilvl="2">
      <w:start w:val="1"/>
      <w:numFmt w:val="bullet"/>
      <w:lvlText w:val="▪"/>
      <w:lvlJc w:val="left"/>
      <w:pPr>
        <w:tabs>
          <w:tab w:val="num" w:pos="2094"/>
        </w:tabs>
        <w:ind w:left="2094" w:hanging="300"/>
      </w:pPr>
      <w:rPr>
        <w:rFonts w:ascii="Verdana" w:eastAsia="Verdana" w:hAnsi="Verdana" w:cs="Verdana"/>
        <w:position w:val="0"/>
        <w:sz w:val="20"/>
        <w:szCs w:val="20"/>
      </w:rPr>
    </w:lvl>
    <w:lvl w:ilvl="3">
      <w:start w:val="1"/>
      <w:numFmt w:val="bullet"/>
      <w:lvlText w:val="•"/>
      <w:lvlJc w:val="left"/>
      <w:pPr>
        <w:tabs>
          <w:tab w:val="num" w:pos="2814"/>
        </w:tabs>
        <w:ind w:left="2814" w:hanging="300"/>
      </w:pPr>
      <w:rPr>
        <w:rFonts w:ascii="Verdana" w:eastAsia="Verdana" w:hAnsi="Verdana" w:cs="Verdana"/>
        <w:position w:val="0"/>
        <w:sz w:val="20"/>
        <w:szCs w:val="20"/>
      </w:rPr>
    </w:lvl>
    <w:lvl w:ilvl="4">
      <w:start w:val="1"/>
      <w:numFmt w:val="bullet"/>
      <w:lvlText w:val="o"/>
      <w:lvlJc w:val="left"/>
      <w:pPr>
        <w:tabs>
          <w:tab w:val="num" w:pos="3534"/>
        </w:tabs>
        <w:ind w:left="3534" w:hanging="300"/>
      </w:pPr>
      <w:rPr>
        <w:rFonts w:ascii="Verdana" w:eastAsia="Verdana" w:hAnsi="Verdana" w:cs="Verdana"/>
        <w:position w:val="0"/>
        <w:sz w:val="20"/>
        <w:szCs w:val="20"/>
      </w:rPr>
    </w:lvl>
    <w:lvl w:ilvl="5">
      <w:start w:val="1"/>
      <w:numFmt w:val="bullet"/>
      <w:lvlText w:val="▪"/>
      <w:lvlJc w:val="left"/>
      <w:pPr>
        <w:tabs>
          <w:tab w:val="num" w:pos="4254"/>
        </w:tabs>
        <w:ind w:left="4254" w:hanging="300"/>
      </w:pPr>
      <w:rPr>
        <w:rFonts w:ascii="Verdana" w:eastAsia="Verdana" w:hAnsi="Verdana" w:cs="Verdana"/>
        <w:position w:val="0"/>
        <w:sz w:val="20"/>
        <w:szCs w:val="20"/>
      </w:rPr>
    </w:lvl>
    <w:lvl w:ilvl="6">
      <w:start w:val="1"/>
      <w:numFmt w:val="bullet"/>
      <w:lvlText w:val="•"/>
      <w:lvlJc w:val="left"/>
      <w:pPr>
        <w:tabs>
          <w:tab w:val="num" w:pos="4974"/>
        </w:tabs>
        <w:ind w:left="4974" w:hanging="300"/>
      </w:pPr>
      <w:rPr>
        <w:rFonts w:ascii="Verdana" w:eastAsia="Verdana" w:hAnsi="Verdana" w:cs="Verdana"/>
        <w:position w:val="0"/>
        <w:sz w:val="20"/>
        <w:szCs w:val="20"/>
      </w:rPr>
    </w:lvl>
    <w:lvl w:ilvl="7">
      <w:start w:val="1"/>
      <w:numFmt w:val="bullet"/>
      <w:lvlText w:val="o"/>
      <w:lvlJc w:val="left"/>
      <w:pPr>
        <w:tabs>
          <w:tab w:val="num" w:pos="5694"/>
        </w:tabs>
        <w:ind w:left="5694" w:hanging="300"/>
      </w:pPr>
      <w:rPr>
        <w:rFonts w:ascii="Verdana" w:eastAsia="Verdana" w:hAnsi="Verdana" w:cs="Verdana"/>
        <w:position w:val="0"/>
        <w:sz w:val="20"/>
        <w:szCs w:val="20"/>
      </w:rPr>
    </w:lvl>
    <w:lvl w:ilvl="8">
      <w:start w:val="1"/>
      <w:numFmt w:val="bullet"/>
      <w:lvlText w:val="▪"/>
      <w:lvlJc w:val="left"/>
      <w:pPr>
        <w:tabs>
          <w:tab w:val="num" w:pos="6414"/>
        </w:tabs>
        <w:ind w:left="6414" w:hanging="300"/>
      </w:pPr>
      <w:rPr>
        <w:rFonts w:ascii="Verdana" w:eastAsia="Verdana" w:hAnsi="Verdana" w:cs="Verdana"/>
        <w:position w:val="0"/>
        <w:sz w:val="20"/>
        <w:szCs w:val="20"/>
      </w:rPr>
    </w:lvl>
  </w:abstractNum>
  <w:abstractNum w:abstractNumId="17" w15:restartNumberingAfterBreak="0">
    <w:nsid w:val="305B400A"/>
    <w:multiLevelType w:val="hybridMultilevel"/>
    <w:tmpl w:val="262CBCB8"/>
    <w:lvl w:ilvl="0" w:tplc="9F8C5B4E">
      <w:start w:val="2"/>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31194A9D"/>
    <w:multiLevelType w:val="multilevel"/>
    <w:tmpl w:val="7A101AD2"/>
    <w:lvl w:ilvl="0">
      <w:numFmt w:val="bullet"/>
      <w:lvlText w:val="-"/>
      <w:lvlJc w:val="left"/>
      <w:pPr>
        <w:tabs>
          <w:tab w:val="num" w:pos="218"/>
        </w:tabs>
        <w:ind w:left="218" w:hanging="218"/>
      </w:pPr>
      <w:rPr>
        <w:rFonts w:ascii="Verdana" w:eastAsia="Verdana" w:hAnsi="Verdana" w:cs="Verdana"/>
        <w:position w:val="4"/>
        <w:sz w:val="29"/>
        <w:szCs w:val="29"/>
        <w:u w:val="single"/>
      </w:rPr>
    </w:lvl>
    <w:lvl w:ilvl="1">
      <w:start w:val="1"/>
      <w:numFmt w:val="bullet"/>
      <w:lvlText w:val="-"/>
      <w:lvlJc w:val="left"/>
      <w:pPr>
        <w:tabs>
          <w:tab w:val="num" w:pos="458"/>
        </w:tabs>
        <w:ind w:left="458" w:hanging="218"/>
      </w:pPr>
      <w:rPr>
        <w:rFonts w:ascii="Verdana" w:eastAsia="Verdana" w:hAnsi="Verdana" w:cs="Verdana"/>
        <w:position w:val="4"/>
        <w:sz w:val="24"/>
        <w:szCs w:val="24"/>
        <w:u w:val="single"/>
      </w:rPr>
    </w:lvl>
    <w:lvl w:ilvl="2">
      <w:start w:val="1"/>
      <w:numFmt w:val="bullet"/>
      <w:lvlText w:val="-"/>
      <w:lvlJc w:val="left"/>
      <w:pPr>
        <w:tabs>
          <w:tab w:val="num" w:pos="698"/>
        </w:tabs>
        <w:ind w:left="698" w:hanging="218"/>
      </w:pPr>
      <w:rPr>
        <w:rFonts w:ascii="Verdana" w:eastAsia="Verdana" w:hAnsi="Verdana" w:cs="Verdana"/>
        <w:position w:val="4"/>
        <w:sz w:val="24"/>
        <w:szCs w:val="24"/>
        <w:u w:val="single"/>
      </w:rPr>
    </w:lvl>
    <w:lvl w:ilvl="3">
      <w:start w:val="1"/>
      <w:numFmt w:val="bullet"/>
      <w:lvlText w:val="-"/>
      <w:lvlJc w:val="left"/>
      <w:pPr>
        <w:tabs>
          <w:tab w:val="num" w:pos="938"/>
        </w:tabs>
        <w:ind w:left="938" w:hanging="218"/>
      </w:pPr>
      <w:rPr>
        <w:rFonts w:ascii="Verdana" w:eastAsia="Verdana" w:hAnsi="Verdana" w:cs="Verdana"/>
        <w:position w:val="4"/>
        <w:sz w:val="24"/>
        <w:szCs w:val="24"/>
        <w:u w:val="single"/>
      </w:rPr>
    </w:lvl>
    <w:lvl w:ilvl="4">
      <w:start w:val="1"/>
      <w:numFmt w:val="bullet"/>
      <w:lvlText w:val="-"/>
      <w:lvlJc w:val="left"/>
      <w:pPr>
        <w:tabs>
          <w:tab w:val="num" w:pos="1178"/>
        </w:tabs>
        <w:ind w:left="1178" w:hanging="218"/>
      </w:pPr>
      <w:rPr>
        <w:rFonts w:ascii="Verdana" w:eastAsia="Verdana" w:hAnsi="Verdana" w:cs="Verdana"/>
        <w:position w:val="4"/>
        <w:sz w:val="24"/>
        <w:szCs w:val="24"/>
        <w:u w:val="single"/>
      </w:rPr>
    </w:lvl>
    <w:lvl w:ilvl="5">
      <w:start w:val="1"/>
      <w:numFmt w:val="bullet"/>
      <w:lvlText w:val="-"/>
      <w:lvlJc w:val="left"/>
      <w:pPr>
        <w:tabs>
          <w:tab w:val="num" w:pos="1418"/>
        </w:tabs>
        <w:ind w:left="1418" w:hanging="218"/>
      </w:pPr>
      <w:rPr>
        <w:rFonts w:ascii="Verdana" w:eastAsia="Verdana" w:hAnsi="Verdana" w:cs="Verdana"/>
        <w:position w:val="4"/>
        <w:sz w:val="24"/>
        <w:szCs w:val="24"/>
        <w:u w:val="single"/>
      </w:rPr>
    </w:lvl>
    <w:lvl w:ilvl="6">
      <w:start w:val="1"/>
      <w:numFmt w:val="bullet"/>
      <w:lvlText w:val="-"/>
      <w:lvlJc w:val="left"/>
      <w:pPr>
        <w:tabs>
          <w:tab w:val="num" w:pos="1658"/>
        </w:tabs>
        <w:ind w:left="1658" w:hanging="218"/>
      </w:pPr>
      <w:rPr>
        <w:rFonts w:ascii="Verdana" w:eastAsia="Verdana" w:hAnsi="Verdana" w:cs="Verdana"/>
        <w:position w:val="4"/>
        <w:sz w:val="24"/>
        <w:szCs w:val="24"/>
        <w:u w:val="single"/>
      </w:rPr>
    </w:lvl>
    <w:lvl w:ilvl="7">
      <w:start w:val="1"/>
      <w:numFmt w:val="bullet"/>
      <w:lvlText w:val="-"/>
      <w:lvlJc w:val="left"/>
      <w:pPr>
        <w:tabs>
          <w:tab w:val="num" w:pos="1898"/>
        </w:tabs>
        <w:ind w:left="1898" w:hanging="218"/>
      </w:pPr>
      <w:rPr>
        <w:rFonts w:ascii="Verdana" w:eastAsia="Verdana" w:hAnsi="Verdana" w:cs="Verdana"/>
        <w:position w:val="4"/>
        <w:sz w:val="24"/>
        <w:szCs w:val="24"/>
        <w:u w:val="single"/>
      </w:rPr>
    </w:lvl>
    <w:lvl w:ilvl="8">
      <w:start w:val="1"/>
      <w:numFmt w:val="bullet"/>
      <w:lvlText w:val="-"/>
      <w:lvlJc w:val="left"/>
      <w:pPr>
        <w:tabs>
          <w:tab w:val="num" w:pos="2138"/>
        </w:tabs>
        <w:ind w:left="2138" w:hanging="218"/>
      </w:pPr>
      <w:rPr>
        <w:rFonts w:ascii="Verdana" w:eastAsia="Verdana" w:hAnsi="Verdana" w:cs="Verdana"/>
        <w:position w:val="4"/>
        <w:sz w:val="24"/>
        <w:szCs w:val="24"/>
        <w:u w:val="single"/>
      </w:rPr>
    </w:lvl>
  </w:abstractNum>
  <w:abstractNum w:abstractNumId="19" w15:restartNumberingAfterBreak="0">
    <w:nsid w:val="33CE1B8B"/>
    <w:multiLevelType w:val="multilevel"/>
    <w:tmpl w:val="C80029B8"/>
    <w:lvl w:ilvl="0">
      <w:start w:val="1"/>
      <w:numFmt w:val="bullet"/>
      <w:lvlText w:val="-"/>
      <w:lvlJc w:val="left"/>
      <w:pPr>
        <w:tabs>
          <w:tab w:val="num" w:pos="714"/>
        </w:tabs>
        <w:ind w:left="714" w:hanging="360"/>
      </w:pPr>
      <w:rPr>
        <w:rFonts w:ascii="Verdana" w:eastAsia="Verdana" w:hAnsi="Verdana" w:cs="Verdana"/>
        <w:position w:val="0"/>
        <w:sz w:val="20"/>
        <w:szCs w:val="20"/>
        <w:lang w:val="it-IT"/>
      </w:rPr>
    </w:lvl>
    <w:lvl w:ilvl="1">
      <w:start w:val="1"/>
      <w:numFmt w:val="bullet"/>
      <w:lvlText w:val="o"/>
      <w:lvlJc w:val="left"/>
      <w:pPr>
        <w:tabs>
          <w:tab w:val="num" w:pos="1374"/>
        </w:tabs>
        <w:ind w:left="1374" w:hanging="300"/>
      </w:pPr>
      <w:rPr>
        <w:rFonts w:ascii="Verdana" w:eastAsia="Verdana" w:hAnsi="Verdana" w:cs="Verdana"/>
        <w:position w:val="0"/>
        <w:sz w:val="20"/>
        <w:szCs w:val="20"/>
        <w:lang w:val="it-IT"/>
      </w:rPr>
    </w:lvl>
    <w:lvl w:ilvl="2">
      <w:start w:val="1"/>
      <w:numFmt w:val="bullet"/>
      <w:lvlText w:val="▪"/>
      <w:lvlJc w:val="left"/>
      <w:pPr>
        <w:tabs>
          <w:tab w:val="num" w:pos="2094"/>
        </w:tabs>
        <w:ind w:left="2094" w:hanging="300"/>
      </w:pPr>
      <w:rPr>
        <w:rFonts w:ascii="Verdana" w:eastAsia="Verdana" w:hAnsi="Verdana" w:cs="Verdana"/>
        <w:position w:val="0"/>
        <w:sz w:val="20"/>
        <w:szCs w:val="20"/>
        <w:lang w:val="it-IT"/>
      </w:rPr>
    </w:lvl>
    <w:lvl w:ilvl="3">
      <w:start w:val="1"/>
      <w:numFmt w:val="bullet"/>
      <w:lvlText w:val="•"/>
      <w:lvlJc w:val="left"/>
      <w:pPr>
        <w:tabs>
          <w:tab w:val="num" w:pos="2814"/>
        </w:tabs>
        <w:ind w:left="2814" w:hanging="300"/>
      </w:pPr>
      <w:rPr>
        <w:rFonts w:ascii="Verdana" w:eastAsia="Verdana" w:hAnsi="Verdana" w:cs="Verdana"/>
        <w:position w:val="0"/>
        <w:sz w:val="20"/>
        <w:szCs w:val="20"/>
        <w:lang w:val="it-IT"/>
      </w:rPr>
    </w:lvl>
    <w:lvl w:ilvl="4">
      <w:start w:val="1"/>
      <w:numFmt w:val="bullet"/>
      <w:lvlText w:val="o"/>
      <w:lvlJc w:val="left"/>
      <w:pPr>
        <w:tabs>
          <w:tab w:val="num" w:pos="3534"/>
        </w:tabs>
        <w:ind w:left="3534" w:hanging="300"/>
      </w:pPr>
      <w:rPr>
        <w:rFonts w:ascii="Verdana" w:eastAsia="Verdana" w:hAnsi="Verdana" w:cs="Verdana"/>
        <w:position w:val="0"/>
        <w:sz w:val="20"/>
        <w:szCs w:val="20"/>
        <w:lang w:val="it-IT"/>
      </w:rPr>
    </w:lvl>
    <w:lvl w:ilvl="5">
      <w:start w:val="1"/>
      <w:numFmt w:val="bullet"/>
      <w:lvlText w:val="▪"/>
      <w:lvlJc w:val="left"/>
      <w:pPr>
        <w:tabs>
          <w:tab w:val="num" w:pos="4254"/>
        </w:tabs>
        <w:ind w:left="4254" w:hanging="300"/>
      </w:pPr>
      <w:rPr>
        <w:rFonts w:ascii="Verdana" w:eastAsia="Verdana" w:hAnsi="Verdana" w:cs="Verdana"/>
        <w:position w:val="0"/>
        <w:sz w:val="20"/>
        <w:szCs w:val="20"/>
        <w:lang w:val="it-IT"/>
      </w:rPr>
    </w:lvl>
    <w:lvl w:ilvl="6">
      <w:start w:val="1"/>
      <w:numFmt w:val="bullet"/>
      <w:lvlText w:val="•"/>
      <w:lvlJc w:val="left"/>
      <w:pPr>
        <w:tabs>
          <w:tab w:val="num" w:pos="4974"/>
        </w:tabs>
        <w:ind w:left="4974" w:hanging="300"/>
      </w:pPr>
      <w:rPr>
        <w:rFonts w:ascii="Verdana" w:eastAsia="Verdana" w:hAnsi="Verdana" w:cs="Verdana"/>
        <w:position w:val="0"/>
        <w:sz w:val="20"/>
        <w:szCs w:val="20"/>
        <w:lang w:val="it-IT"/>
      </w:rPr>
    </w:lvl>
    <w:lvl w:ilvl="7">
      <w:start w:val="1"/>
      <w:numFmt w:val="bullet"/>
      <w:lvlText w:val="o"/>
      <w:lvlJc w:val="left"/>
      <w:pPr>
        <w:tabs>
          <w:tab w:val="num" w:pos="5694"/>
        </w:tabs>
        <w:ind w:left="5694" w:hanging="300"/>
      </w:pPr>
      <w:rPr>
        <w:rFonts w:ascii="Verdana" w:eastAsia="Verdana" w:hAnsi="Verdana" w:cs="Verdana"/>
        <w:position w:val="0"/>
        <w:sz w:val="20"/>
        <w:szCs w:val="20"/>
        <w:lang w:val="it-IT"/>
      </w:rPr>
    </w:lvl>
    <w:lvl w:ilvl="8">
      <w:start w:val="1"/>
      <w:numFmt w:val="bullet"/>
      <w:lvlText w:val="▪"/>
      <w:lvlJc w:val="left"/>
      <w:pPr>
        <w:tabs>
          <w:tab w:val="num" w:pos="6414"/>
        </w:tabs>
        <w:ind w:left="6414" w:hanging="300"/>
      </w:pPr>
      <w:rPr>
        <w:rFonts w:ascii="Verdana" w:eastAsia="Verdana" w:hAnsi="Verdana" w:cs="Verdana"/>
        <w:position w:val="0"/>
        <w:sz w:val="20"/>
        <w:szCs w:val="20"/>
        <w:lang w:val="it-IT"/>
      </w:rPr>
    </w:lvl>
  </w:abstractNum>
  <w:abstractNum w:abstractNumId="20" w15:restartNumberingAfterBreak="0">
    <w:nsid w:val="33F4496C"/>
    <w:multiLevelType w:val="multilevel"/>
    <w:tmpl w:val="0226AFCA"/>
    <w:lvl w:ilvl="0">
      <w:numFmt w:val="bullet"/>
      <w:lvlText w:val="-"/>
      <w:lvlJc w:val="left"/>
      <w:rPr>
        <w:b/>
        <w:bCs/>
        <w:position w:val="4"/>
      </w:rPr>
    </w:lvl>
    <w:lvl w:ilvl="1">
      <w:start w:val="1"/>
      <w:numFmt w:val="bullet"/>
      <w:lvlText w:val="-"/>
      <w:lvlJc w:val="left"/>
      <w:rPr>
        <w:b/>
        <w:bCs/>
        <w:position w:val="4"/>
      </w:rPr>
    </w:lvl>
    <w:lvl w:ilvl="2">
      <w:start w:val="1"/>
      <w:numFmt w:val="bullet"/>
      <w:lvlText w:val="-"/>
      <w:lvlJc w:val="left"/>
      <w:rPr>
        <w:b/>
        <w:bCs/>
        <w:position w:val="4"/>
      </w:rPr>
    </w:lvl>
    <w:lvl w:ilvl="3">
      <w:start w:val="1"/>
      <w:numFmt w:val="bullet"/>
      <w:lvlText w:val="-"/>
      <w:lvlJc w:val="left"/>
      <w:rPr>
        <w:b/>
        <w:bCs/>
        <w:position w:val="4"/>
      </w:rPr>
    </w:lvl>
    <w:lvl w:ilvl="4">
      <w:start w:val="1"/>
      <w:numFmt w:val="bullet"/>
      <w:lvlText w:val="-"/>
      <w:lvlJc w:val="left"/>
      <w:rPr>
        <w:b/>
        <w:bCs/>
        <w:position w:val="4"/>
      </w:rPr>
    </w:lvl>
    <w:lvl w:ilvl="5">
      <w:start w:val="1"/>
      <w:numFmt w:val="bullet"/>
      <w:lvlText w:val="-"/>
      <w:lvlJc w:val="left"/>
      <w:rPr>
        <w:b/>
        <w:bCs/>
        <w:position w:val="4"/>
      </w:rPr>
    </w:lvl>
    <w:lvl w:ilvl="6">
      <w:start w:val="1"/>
      <w:numFmt w:val="bullet"/>
      <w:lvlText w:val="-"/>
      <w:lvlJc w:val="left"/>
      <w:rPr>
        <w:b/>
        <w:bCs/>
        <w:position w:val="4"/>
      </w:rPr>
    </w:lvl>
    <w:lvl w:ilvl="7">
      <w:start w:val="1"/>
      <w:numFmt w:val="bullet"/>
      <w:lvlText w:val="-"/>
      <w:lvlJc w:val="left"/>
      <w:rPr>
        <w:b/>
        <w:bCs/>
        <w:position w:val="4"/>
      </w:rPr>
    </w:lvl>
    <w:lvl w:ilvl="8">
      <w:start w:val="1"/>
      <w:numFmt w:val="bullet"/>
      <w:lvlText w:val="-"/>
      <w:lvlJc w:val="left"/>
      <w:rPr>
        <w:b/>
        <w:bCs/>
        <w:position w:val="4"/>
      </w:rPr>
    </w:lvl>
  </w:abstractNum>
  <w:abstractNum w:abstractNumId="21" w15:restartNumberingAfterBreak="0">
    <w:nsid w:val="37BC5415"/>
    <w:multiLevelType w:val="multilevel"/>
    <w:tmpl w:val="04661F5E"/>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22" w15:restartNumberingAfterBreak="0">
    <w:nsid w:val="3EC71172"/>
    <w:multiLevelType w:val="multilevel"/>
    <w:tmpl w:val="CD12E2E2"/>
    <w:lvl w:ilvl="0">
      <w:numFmt w:val="bullet"/>
      <w:lvlText w:val="-"/>
      <w:lvlJc w:val="left"/>
      <w:pPr>
        <w:tabs>
          <w:tab w:val="num" w:pos="572"/>
        </w:tabs>
        <w:ind w:left="218" w:firstLine="136"/>
      </w:pPr>
      <w:rPr>
        <w:rFonts w:ascii="Verdana" w:eastAsia="Verdana" w:hAnsi="Verdana" w:cs="Verdana"/>
        <w:b/>
        <w:bCs/>
        <w:position w:val="4"/>
        <w:sz w:val="24"/>
        <w:szCs w:val="24"/>
      </w:rPr>
    </w:lvl>
    <w:lvl w:ilvl="1">
      <w:start w:val="1"/>
      <w:numFmt w:val="bullet"/>
      <w:lvlText w:val="-"/>
      <w:lvlJc w:val="left"/>
      <w:pPr>
        <w:tabs>
          <w:tab w:val="num" w:pos="812"/>
        </w:tabs>
        <w:ind w:left="458" w:firstLine="136"/>
      </w:pPr>
      <w:rPr>
        <w:rFonts w:ascii="Verdana" w:eastAsia="Verdana" w:hAnsi="Verdana" w:cs="Verdana"/>
        <w:b/>
        <w:bCs/>
        <w:position w:val="4"/>
        <w:sz w:val="24"/>
        <w:szCs w:val="24"/>
      </w:rPr>
    </w:lvl>
    <w:lvl w:ilvl="2">
      <w:start w:val="1"/>
      <w:numFmt w:val="bullet"/>
      <w:lvlText w:val="-"/>
      <w:lvlJc w:val="left"/>
      <w:pPr>
        <w:tabs>
          <w:tab w:val="num" w:pos="1052"/>
        </w:tabs>
        <w:ind w:left="698" w:firstLine="136"/>
      </w:pPr>
      <w:rPr>
        <w:rFonts w:ascii="Verdana" w:eastAsia="Verdana" w:hAnsi="Verdana" w:cs="Verdana"/>
        <w:b/>
        <w:bCs/>
        <w:position w:val="4"/>
        <w:sz w:val="24"/>
        <w:szCs w:val="24"/>
      </w:rPr>
    </w:lvl>
    <w:lvl w:ilvl="3">
      <w:start w:val="1"/>
      <w:numFmt w:val="bullet"/>
      <w:lvlText w:val="-"/>
      <w:lvlJc w:val="left"/>
      <w:pPr>
        <w:tabs>
          <w:tab w:val="num" w:pos="1292"/>
        </w:tabs>
        <w:ind w:left="938" w:firstLine="136"/>
      </w:pPr>
      <w:rPr>
        <w:rFonts w:ascii="Verdana" w:eastAsia="Verdana" w:hAnsi="Verdana" w:cs="Verdana"/>
        <w:b/>
        <w:bCs/>
        <w:position w:val="4"/>
        <w:sz w:val="24"/>
        <w:szCs w:val="24"/>
      </w:rPr>
    </w:lvl>
    <w:lvl w:ilvl="4">
      <w:start w:val="1"/>
      <w:numFmt w:val="bullet"/>
      <w:lvlText w:val="-"/>
      <w:lvlJc w:val="left"/>
      <w:pPr>
        <w:tabs>
          <w:tab w:val="num" w:pos="1532"/>
        </w:tabs>
        <w:ind w:left="1178" w:firstLine="136"/>
      </w:pPr>
      <w:rPr>
        <w:rFonts w:ascii="Verdana" w:eastAsia="Verdana" w:hAnsi="Verdana" w:cs="Verdana"/>
        <w:b/>
        <w:bCs/>
        <w:position w:val="4"/>
        <w:sz w:val="24"/>
        <w:szCs w:val="24"/>
      </w:rPr>
    </w:lvl>
    <w:lvl w:ilvl="5">
      <w:start w:val="1"/>
      <w:numFmt w:val="bullet"/>
      <w:lvlText w:val="-"/>
      <w:lvlJc w:val="left"/>
      <w:pPr>
        <w:tabs>
          <w:tab w:val="num" w:pos="1772"/>
        </w:tabs>
        <w:ind w:left="1418" w:firstLine="136"/>
      </w:pPr>
      <w:rPr>
        <w:rFonts w:ascii="Verdana" w:eastAsia="Verdana" w:hAnsi="Verdana" w:cs="Verdana"/>
        <w:b/>
        <w:bCs/>
        <w:position w:val="4"/>
        <w:sz w:val="24"/>
        <w:szCs w:val="24"/>
      </w:rPr>
    </w:lvl>
    <w:lvl w:ilvl="6">
      <w:start w:val="1"/>
      <w:numFmt w:val="bullet"/>
      <w:lvlText w:val="-"/>
      <w:lvlJc w:val="left"/>
      <w:pPr>
        <w:tabs>
          <w:tab w:val="num" w:pos="2012"/>
        </w:tabs>
        <w:ind w:left="1658" w:firstLine="136"/>
      </w:pPr>
      <w:rPr>
        <w:rFonts w:ascii="Verdana" w:eastAsia="Verdana" w:hAnsi="Verdana" w:cs="Verdana"/>
        <w:b/>
        <w:bCs/>
        <w:position w:val="4"/>
        <w:sz w:val="24"/>
        <w:szCs w:val="24"/>
      </w:rPr>
    </w:lvl>
    <w:lvl w:ilvl="7">
      <w:start w:val="1"/>
      <w:numFmt w:val="bullet"/>
      <w:lvlText w:val="-"/>
      <w:lvlJc w:val="left"/>
      <w:pPr>
        <w:tabs>
          <w:tab w:val="num" w:pos="2252"/>
        </w:tabs>
        <w:ind w:left="1898" w:firstLine="136"/>
      </w:pPr>
      <w:rPr>
        <w:rFonts w:ascii="Verdana" w:eastAsia="Verdana" w:hAnsi="Verdana" w:cs="Verdana"/>
        <w:b/>
        <w:bCs/>
        <w:position w:val="4"/>
        <w:sz w:val="24"/>
        <w:szCs w:val="24"/>
      </w:rPr>
    </w:lvl>
    <w:lvl w:ilvl="8">
      <w:start w:val="1"/>
      <w:numFmt w:val="bullet"/>
      <w:lvlText w:val="-"/>
      <w:lvlJc w:val="left"/>
      <w:pPr>
        <w:tabs>
          <w:tab w:val="num" w:pos="2492"/>
        </w:tabs>
        <w:ind w:left="2138" w:firstLine="136"/>
      </w:pPr>
      <w:rPr>
        <w:rFonts w:ascii="Verdana" w:eastAsia="Verdana" w:hAnsi="Verdana" w:cs="Verdana"/>
        <w:b/>
        <w:bCs/>
        <w:position w:val="4"/>
        <w:sz w:val="24"/>
        <w:szCs w:val="24"/>
      </w:rPr>
    </w:lvl>
  </w:abstractNum>
  <w:abstractNum w:abstractNumId="23" w15:restartNumberingAfterBreak="0">
    <w:nsid w:val="3EDA7FDE"/>
    <w:multiLevelType w:val="multilevel"/>
    <w:tmpl w:val="926CBEE8"/>
    <w:lvl w:ilvl="0">
      <w:numFmt w:val="bullet"/>
      <w:lvlText w:val="-"/>
      <w:lvlJc w:val="left"/>
      <w:pPr>
        <w:tabs>
          <w:tab w:val="num" w:pos="572"/>
        </w:tabs>
        <w:ind w:left="218" w:firstLine="136"/>
      </w:pPr>
      <w:rPr>
        <w:rFonts w:ascii="Verdana" w:eastAsia="Verdana" w:hAnsi="Verdana" w:cs="Verdana"/>
        <w:b/>
        <w:bCs/>
        <w:position w:val="4"/>
        <w:sz w:val="24"/>
        <w:szCs w:val="24"/>
      </w:rPr>
    </w:lvl>
    <w:lvl w:ilvl="1">
      <w:start w:val="1"/>
      <w:numFmt w:val="bullet"/>
      <w:lvlText w:val="-"/>
      <w:lvlJc w:val="left"/>
      <w:pPr>
        <w:tabs>
          <w:tab w:val="num" w:pos="812"/>
        </w:tabs>
        <w:ind w:left="458" w:firstLine="136"/>
      </w:pPr>
      <w:rPr>
        <w:rFonts w:ascii="Verdana" w:eastAsia="Verdana" w:hAnsi="Verdana" w:cs="Verdana"/>
        <w:b/>
        <w:bCs/>
        <w:position w:val="4"/>
        <w:sz w:val="24"/>
        <w:szCs w:val="24"/>
      </w:rPr>
    </w:lvl>
    <w:lvl w:ilvl="2">
      <w:start w:val="1"/>
      <w:numFmt w:val="bullet"/>
      <w:lvlText w:val="-"/>
      <w:lvlJc w:val="left"/>
      <w:pPr>
        <w:tabs>
          <w:tab w:val="num" w:pos="1052"/>
        </w:tabs>
        <w:ind w:left="698" w:firstLine="136"/>
      </w:pPr>
      <w:rPr>
        <w:rFonts w:ascii="Verdana" w:eastAsia="Verdana" w:hAnsi="Verdana" w:cs="Verdana"/>
        <w:b/>
        <w:bCs/>
        <w:position w:val="4"/>
        <w:sz w:val="24"/>
        <w:szCs w:val="24"/>
      </w:rPr>
    </w:lvl>
    <w:lvl w:ilvl="3">
      <w:start w:val="1"/>
      <w:numFmt w:val="bullet"/>
      <w:lvlText w:val="-"/>
      <w:lvlJc w:val="left"/>
      <w:pPr>
        <w:tabs>
          <w:tab w:val="num" w:pos="1292"/>
        </w:tabs>
        <w:ind w:left="938" w:firstLine="136"/>
      </w:pPr>
      <w:rPr>
        <w:rFonts w:ascii="Verdana" w:eastAsia="Verdana" w:hAnsi="Verdana" w:cs="Verdana"/>
        <w:b/>
        <w:bCs/>
        <w:position w:val="4"/>
        <w:sz w:val="24"/>
        <w:szCs w:val="24"/>
      </w:rPr>
    </w:lvl>
    <w:lvl w:ilvl="4">
      <w:start w:val="1"/>
      <w:numFmt w:val="bullet"/>
      <w:lvlText w:val="-"/>
      <w:lvlJc w:val="left"/>
      <w:pPr>
        <w:tabs>
          <w:tab w:val="num" w:pos="1532"/>
        </w:tabs>
        <w:ind w:left="1178" w:firstLine="136"/>
      </w:pPr>
      <w:rPr>
        <w:rFonts w:ascii="Verdana" w:eastAsia="Verdana" w:hAnsi="Verdana" w:cs="Verdana"/>
        <w:b/>
        <w:bCs/>
        <w:position w:val="4"/>
        <w:sz w:val="24"/>
        <w:szCs w:val="24"/>
      </w:rPr>
    </w:lvl>
    <w:lvl w:ilvl="5">
      <w:start w:val="1"/>
      <w:numFmt w:val="bullet"/>
      <w:lvlText w:val="-"/>
      <w:lvlJc w:val="left"/>
      <w:pPr>
        <w:tabs>
          <w:tab w:val="num" w:pos="1772"/>
        </w:tabs>
        <w:ind w:left="1418" w:firstLine="136"/>
      </w:pPr>
      <w:rPr>
        <w:rFonts w:ascii="Verdana" w:eastAsia="Verdana" w:hAnsi="Verdana" w:cs="Verdana"/>
        <w:b/>
        <w:bCs/>
        <w:position w:val="4"/>
        <w:sz w:val="24"/>
        <w:szCs w:val="24"/>
      </w:rPr>
    </w:lvl>
    <w:lvl w:ilvl="6">
      <w:start w:val="1"/>
      <w:numFmt w:val="bullet"/>
      <w:lvlText w:val="-"/>
      <w:lvlJc w:val="left"/>
      <w:pPr>
        <w:tabs>
          <w:tab w:val="num" w:pos="2012"/>
        </w:tabs>
        <w:ind w:left="1658" w:firstLine="136"/>
      </w:pPr>
      <w:rPr>
        <w:rFonts w:ascii="Verdana" w:eastAsia="Verdana" w:hAnsi="Verdana" w:cs="Verdana"/>
        <w:b/>
        <w:bCs/>
        <w:position w:val="4"/>
        <w:sz w:val="24"/>
        <w:szCs w:val="24"/>
      </w:rPr>
    </w:lvl>
    <w:lvl w:ilvl="7">
      <w:start w:val="1"/>
      <w:numFmt w:val="bullet"/>
      <w:lvlText w:val="-"/>
      <w:lvlJc w:val="left"/>
      <w:pPr>
        <w:tabs>
          <w:tab w:val="num" w:pos="2252"/>
        </w:tabs>
        <w:ind w:left="1898" w:firstLine="136"/>
      </w:pPr>
      <w:rPr>
        <w:rFonts w:ascii="Verdana" w:eastAsia="Verdana" w:hAnsi="Verdana" w:cs="Verdana"/>
        <w:b/>
        <w:bCs/>
        <w:position w:val="4"/>
        <w:sz w:val="24"/>
        <w:szCs w:val="24"/>
      </w:rPr>
    </w:lvl>
    <w:lvl w:ilvl="8">
      <w:start w:val="1"/>
      <w:numFmt w:val="bullet"/>
      <w:lvlText w:val="-"/>
      <w:lvlJc w:val="left"/>
      <w:pPr>
        <w:tabs>
          <w:tab w:val="num" w:pos="2492"/>
        </w:tabs>
        <w:ind w:left="2138" w:firstLine="136"/>
      </w:pPr>
      <w:rPr>
        <w:rFonts w:ascii="Verdana" w:eastAsia="Verdana" w:hAnsi="Verdana" w:cs="Verdana"/>
        <w:b/>
        <w:bCs/>
        <w:position w:val="4"/>
        <w:sz w:val="24"/>
        <w:szCs w:val="24"/>
      </w:rPr>
    </w:lvl>
  </w:abstractNum>
  <w:abstractNum w:abstractNumId="24" w15:restartNumberingAfterBreak="0">
    <w:nsid w:val="3FD80B3B"/>
    <w:multiLevelType w:val="hybridMultilevel"/>
    <w:tmpl w:val="B6BE2546"/>
    <w:lvl w:ilvl="0" w:tplc="8842C4DC">
      <w:start w:val="90"/>
      <w:numFmt w:val="bullet"/>
      <w:lvlText w:val="*"/>
      <w:lvlJc w:val="left"/>
      <w:pPr>
        <w:ind w:left="714" w:hanging="360"/>
      </w:pPr>
      <w:rPr>
        <w:rFonts w:ascii="Verdana" w:eastAsia="Verdana" w:hAnsi="Verdana" w:cs="Verdana" w:hint="default"/>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25" w15:restartNumberingAfterBreak="0">
    <w:nsid w:val="40860670"/>
    <w:multiLevelType w:val="multilevel"/>
    <w:tmpl w:val="541C20AC"/>
    <w:lvl w:ilvl="0">
      <w:start w:val="1"/>
      <w:numFmt w:val="lowerLetter"/>
      <w:lvlText w:val="%1)"/>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42755006"/>
    <w:multiLevelType w:val="multilevel"/>
    <w:tmpl w:val="5EC2969E"/>
    <w:lvl w:ilvl="0">
      <w:numFmt w:val="bullet"/>
      <w:lvlText w:val="-"/>
      <w:lvlJc w:val="left"/>
      <w:pPr>
        <w:tabs>
          <w:tab w:val="num" w:pos="714"/>
        </w:tabs>
        <w:ind w:left="714" w:hanging="360"/>
      </w:pPr>
      <w:rPr>
        <w:rFonts w:ascii="Verdana" w:eastAsia="Verdana" w:hAnsi="Verdana" w:cs="Verdana"/>
        <w:position w:val="0"/>
        <w:sz w:val="24"/>
        <w:szCs w:val="24"/>
        <w:lang w:val="it-IT"/>
      </w:rPr>
    </w:lvl>
    <w:lvl w:ilvl="1">
      <w:start w:val="1"/>
      <w:numFmt w:val="bullet"/>
      <w:lvlText w:val="o"/>
      <w:lvlJc w:val="left"/>
      <w:pPr>
        <w:tabs>
          <w:tab w:val="num" w:pos="1374"/>
        </w:tabs>
        <w:ind w:left="1374" w:hanging="300"/>
      </w:pPr>
      <w:rPr>
        <w:rFonts w:ascii="Verdana" w:eastAsia="Verdana" w:hAnsi="Verdana" w:cs="Verdana"/>
        <w:position w:val="0"/>
        <w:sz w:val="20"/>
        <w:szCs w:val="20"/>
        <w:lang w:val="it-IT"/>
      </w:rPr>
    </w:lvl>
    <w:lvl w:ilvl="2">
      <w:start w:val="1"/>
      <w:numFmt w:val="bullet"/>
      <w:lvlText w:val="▪"/>
      <w:lvlJc w:val="left"/>
      <w:pPr>
        <w:tabs>
          <w:tab w:val="num" w:pos="2094"/>
        </w:tabs>
        <w:ind w:left="2094" w:hanging="300"/>
      </w:pPr>
      <w:rPr>
        <w:rFonts w:ascii="Verdana" w:eastAsia="Verdana" w:hAnsi="Verdana" w:cs="Verdana"/>
        <w:position w:val="0"/>
        <w:sz w:val="20"/>
        <w:szCs w:val="20"/>
        <w:lang w:val="it-IT"/>
      </w:rPr>
    </w:lvl>
    <w:lvl w:ilvl="3">
      <w:start w:val="1"/>
      <w:numFmt w:val="bullet"/>
      <w:lvlText w:val="•"/>
      <w:lvlJc w:val="left"/>
      <w:pPr>
        <w:tabs>
          <w:tab w:val="num" w:pos="2814"/>
        </w:tabs>
        <w:ind w:left="2814" w:hanging="300"/>
      </w:pPr>
      <w:rPr>
        <w:rFonts w:ascii="Verdana" w:eastAsia="Verdana" w:hAnsi="Verdana" w:cs="Verdana"/>
        <w:position w:val="0"/>
        <w:sz w:val="20"/>
        <w:szCs w:val="20"/>
        <w:lang w:val="it-IT"/>
      </w:rPr>
    </w:lvl>
    <w:lvl w:ilvl="4">
      <w:start w:val="1"/>
      <w:numFmt w:val="bullet"/>
      <w:lvlText w:val="o"/>
      <w:lvlJc w:val="left"/>
      <w:pPr>
        <w:tabs>
          <w:tab w:val="num" w:pos="3534"/>
        </w:tabs>
        <w:ind w:left="3534" w:hanging="300"/>
      </w:pPr>
      <w:rPr>
        <w:rFonts w:ascii="Verdana" w:eastAsia="Verdana" w:hAnsi="Verdana" w:cs="Verdana"/>
        <w:position w:val="0"/>
        <w:sz w:val="20"/>
        <w:szCs w:val="20"/>
        <w:lang w:val="it-IT"/>
      </w:rPr>
    </w:lvl>
    <w:lvl w:ilvl="5">
      <w:start w:val="1"/>
      <w:numFmt w:val="bullet"/>
      <w:lvlText w:val="▪"/>
      <w:lvlJc w:val="left"/>
      <w:pPr>
        <w:tabs>
          <w:tab w:val="num" w:pos="4254"/>
        </w:tabs>
        <w:ind w:left="4254" w:hanging="300"/>
      </w:pPr>
      <w:rPr>
        <w:rFonts w:ascii="Verdana" w:eastAsia="Verdana" w:hAnsi="Verdana" w:cs="Verdana"/>
        <w:position w:val="0"/>
        <w:sz w:val="20"/>
        <w:szCs w:val="20"/>
        <w:lang w:val="it-IT"/>
      </w:rPr>
    </w:lvl>
    <w:lvl w:ilvl="6">
      <w:start w:val="1"/>
      <w:numFmt w:val="bullet"/>
      <w:lvlText w:val="•"/>
      <w:lvlJc w:val="left"/>
      <w:pPr>
        <w:tabs>
          <w:tab w:val="num" w:pos="4974"/>
        </w:tabs>
        <w:ind w:left="4974" w:hanging="300"/>
      </w:pPr>
      <w:rPr>
        <w:rFonts w:ascii="Verdana" w:eastAsia="Verdana" w:hAnsi="Verdana" w:cs="Verdana"/>
        <w:position w:val="0"/>
        <w:sz w:val="20"/>
        <w:szCs w:val="20"/>
        <w:lang w:val="it-IT"/>
      </w:rPr>
    </w:lvl>
    <w:lvl w:ilvl="7">
      <w:start w:val="1"/>
      <w:numFmt w:val="bullet"/>
      <w:lvlText w:val="o"/>
      <w:lvlJc w:val="left"/>
      <w:pPr>
        <w:tabs>
          <w:tab w:val="num" w:pos="5694"/>
        </w:tabs>
        <w:ind w:left="5694" w:hanging="300"/>
      </w:pPr>
      <w:rPr>
        <w:rFonts w:ascii="Verdana" w:eastAsia="Verdana" w:hAnsi="Verdana" w:cs="Verdana"/>
        <w:position w:val="0"/>
        <w:sz w:val="20"/>
        <w:szCs w:val="20"/>
        <w:lang w:val="it-IT"/>
      </w:rPr>
    </w:lvl>
    <w:lvl w:ilvl="8">
      <w:start w:val="1"/>
      <w:numFmt w:val="bullet"/>
      <w:lvlText w:val="▪"/>
      <w:lvlJc w:val="left"/>
      <w:pPr>
        <w:tabs>
          <w:tab w:val="num" w:pos="6414"/>
        </w:tabs>
        <w:ind w:left="6414" w:hanging="300"/>
      </w:pPr>
      <w:rPr>
        <w:rFonts w:ascii="Verdana" w:eastAsia="Verdana" w:hAnsi="Verdana" w:cs="Verdana"/>
        <w:position w:val="0"/>
        <w:sz w:val="20"/>
        <w:szCs w:val="20"/>
        <w:lang w:val="it-IT"/>
      </w:rPr>
    </w:lvl>
  </w:abstractNum>
  <w:abstractNum w:abstractNumId="27" w15:restartNumberingAfterBreak="0">
    <w:nsid w:val="46915B04"/>
    <w:multiLevelType w:val="multilevel"/>
    <w:tmpl w:val="FB6C0640"/>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28" w15:restartNumberingAfterBreak="0">
    <w:nsid w:val="4CC20321"/>
    <w:multiLevelType w:val="multilevel"/>
    <w:tmpl w:val="78C8F5F4"/>
    <w:styleLink w:val="Elenco21"/>
    <w:lvl w:ilvl="0">
      <w:numFmt w:val="bullet"/>
      <w:lvlText w:val="-"/>
      <w:lvlJc w:val="left"/>
      <w:pPr>
        <w:tabs>
          <w:tab w:val="num" w:pos="714"/>
        </w:tabs>
        <w:ind w:left="714" w:hanging="360"/>
      </w:pPr>
      <w:rPr>
        <w:rFonts w:ascii="Verdana" w:eastAsia="Verdana" w:hAnsi="Verdana" w:cs="Verdana"/>
        <w:position w:val="0"/>
        <w:sz w:val="24"/>
        <w:szCs w:val="24"/>
        <w:lang w:val="it-IT"/>
      </w:rPr>
    </w:lvl>
    <w:lvl w:ilvl="1">
      <w:start w:val="1"/>
      <w:numFmt w:val="bullet"/>
      <w:lvlText w:val="o"/>
      <w:lvlJc w:val="left"/>
      <w:pPr>
        <w:tabs>
          <w:tab w:val="num" w:pos="1374"/>
        </w:tabs>
        <w:ind w:left="1374" w:hanging="300"/>
      </w:pPr>
      <w:rPr>
        <w:rFonts w:ascii="Verdana" w:eastAsia="Verdana" w:hAnsi="Verdana" w:cs="Verdana"/>
        <w:position w:val="0"/>
        <w:sz w:val="20"/>
        <w:szCs w:val="20"/>
        <w:lang w:val="it-IT"/>
      </w:rPr>
    </w:lvl>
    <w:lvl w:ilvl="2">
      <w:start w:val="1"/>
      <w:numFmt w:val="bullet"/>
      <w:lvlText w:val="▪"/>
      <w:lvlJc w:val="left"/>
      <w:pPr>
        <w:tabs>
          <w:tab w:val="num" w:pos="2094"/>
        </w:tabs>
        <w:ind w:left="2094" w:hanging="300"/>
      </w:pPr>
      <w:rPr>
        <w:rFonts w:ascii="Verdana" w:eastAsia="Verdana" w:hAnsi="Verdana" w:cs="Verdana"/>
        <w:position w:val="0"/>
        <w:sz w:val="20"/>
        <w:szCs w:val="20"/>
        <w:lang w:val="it-IT"/>
      </w:rPr>
    </w:lvl>
    <w:lvl w:ilvl="3">
      <w:start w:val="1"/>
      <w:numFmt w:val="bullet"/>
      <w:lvlText w:val="•"/>
      <w:lvlJc w:val="left"/>
      <w:pPr>
        <w:tabs>
          <w:tab w:val="num" w:pos="2814"/>
        </w:tabs>
        <w:ind w:left="2814" w:hanging="300"/>
      </w:pPr>
      <w:rPr>
        <w:rFonts w:ascii="Verdana" w:eastAsia="Verdana" w:hAnsi="Verdana" w:cs="Verdana"/>
        <w:position w:val="0"/>
        <w:sz w:val="20"/>
        <w:szCs w:val="20"/>
        <w:lang w:val="it-IT"/>
      </w:rPr>
    </w:lvl>
    <w:lvl w:ilvl="4">
      <w:start w:val="1"/>
      <w:numFmt w:val="bullet"/>
      <w:lvlText w:val="o"/>
      <w:lvlJc w:val="left"/>
      <w:pPr>
        <w:tabs>
          <w:tab w:val="num" w:pos="3534"/>
        </w:tabs>
        <w:ind w:left="3534" w:hanging="300"/>
      </w:pPr>
      <w:rPr>
        <w:rFonts w:ascii="Verdana" w:eastAsia="Verdana" w:hAnsi="Verdana" w:cs="Verdana"/>
        <w:position w:val="0"/>
        <w:sz w:val="20"/>
        <w:szCs w:val="20"/>
        <w:lang w:val="it-IT"/>
      </w:rPr>
    </w:lvl>
    <w:lvl w:ilvl="5">
      <w:start w:val="1"/>
      <w:numFmt w:val="bullet"/>
      <w:lvlText w:val="▪"/>
      <w:lvlJc w:val="left"/>
      <w:pPr>
        <w:tabs>
          <w:tab w:val="num" w:pos="4254"/>
        </w:tabs>
        <w:ind w:left="4254" w:hanging="300"/>
      </w:pPr>
      <w:rPr>
        <w:rFonts w:ascii="Verdana" w:eastAsia="Verdana" w:hAnsi="Verdana" w:cs="Verdana"/>
        <w:position w:val="0"/>
        <w:sz w:val="20"/>
        <w:szCs w:val="20"/>
        <w:lang w:val="it-IT"/>
      </w:rPr>
    </w:lvl>
    <w:lvl w:ilvl="6">
      <w:start w:val="1"/>
      <w:numFmt w:val="bullet"/>
      <w:lvlText w:val="•"/>
      <w:lvlJc w:val="left"/>
      <w:pPr>
        <w:tabs>
          <w:tab w:val="num" w:pos="4974"/>
        </w:tabs>
        <w:ind w:left="4974" w:hanging="300"/>
      </w:pPr>
      <w:rPr>
        <w:rFonts w:ascii="Verdana" w:eastAsia="Verdana" w:hAnsi="Verdana" w:cs="Verdana"/>
        <w:position w:val="0"/>
        <w:sz w:val="20"/>
        <w:szCs w:val="20"/>
        <w:lang w:val="it-IT"/>
      </w:rPr>
    </w:lvl>
    <w:lvl w:ilvl="7">
      <w:start w:val="1"/>
      <w:numFmt w:val="bullet"/>
      <w:lvlText w:val="o"/>
      <w:lvlJc w:val="left"/>
      <w:pPr>
        <w:tabs>
          <w:tab w:val="num" w:pos="5694"/>
        </w:tabs>
        <w:ind w:left="5694" w:hanging="300"/>
      </w:pPr>
      <w:rPr>
        <w:rFonts w:ascii="Verdana" w:eastAsia="Verdana" w:hAnsi="Verdana" w:cs="Verdana"/>
        <w:position w:val="0"/>
        <w:sz w:val="20"/>
        <w:szCs w:val="20"/>
        <w:lang w:val="it-IT"/>
      </w:rPr>
    </w:lvl>
    <w:lvl w:ilvl="8">
      <w:start w:val="1"/>
      <w:numFmt w:val="bullet"/>
      <w:lvlText w:val="▪"/>
      <w:lvlJc w:val="left"/>
      <w:pPr>
        <w:tabs>
          <w:tab w:val="num" w:pos="6414"/>
        </w:tabs>
        <w:ind w:left="6414" w:hanging="300"/>
      </w:pPr>
      <w:rPr>
        <w:rFonts w:ascii="Verdana" w:eastAsia="Verdana" w:hAnsi="Verdana" w:cs="Verdana"/>
        <w:position w:val="0"/>
        <w:sz w:val="20"/>
        <w:szCs w:val="20"/>
        <w:lang w:val="it-IT"/>
      </w:rPr>
    </w:lvl>
  </w:abstractNum>
  <w:abstractNum w:abstractNumId="29" w15:restartNumberingAfterBreak="0">
    <w:nsid w:val="4CDE2958"/>
    <w:multiLevelType w:val="multilevel"/>
    <w:tmpl w:val="A07EAD72"/>
    <w:lvl w:ilvl="0">
      <w:numFmt w:val="bullet"/>
      <w:lvlText w:val="-"/>
      <w:lvlJc w:val="left"/>
      <w:pPr>
        <w:tabs>
          <w:tab w:val="num" w:pos="714"/>
        </w:tabs>
        <w:ind w:left="714" w:hanging="360"/>
      </w:pPr>
      <w:rPr>
        <w:rFonts w:ascii="Verdana" w:eastAsia="Verdana" w:hAnsi="Verdana" w:cs="Verdana"/>
        <w:position w:val="0"/>
        <w:sz w:val="24"/>
        <w:szCs w:val="24"/>
        <w:lang w:val="it-IT"/>
      </w:rPr>
    </w:lvl>
    <w:lvl w:ilvl="1">
      <w:start w:val="1"/>
      <w:numFmt w:val="bullet"/>
      <w:lvlText w:val="o"/>
      <w:lvlJc w:val="left"/>
      <w:pPr>
        <w:tabs>
          <w:tab w:val="num" w:pos="1374"/>
        </w:tabs>
        <w:ind w:left="1374" w:hanging="300"/>
      </w:pPr>
      <w:rPr>
        <w:rFonts w:ascii="Verdana" w:eastAsia="Verdana" w:hAnsi="Verdana" w:cs="Verdana"/>
        <w:position w:val="0"/>
        <w:sz w:val="20"/>
        <w:szCs w:val="20"/>
        <w:lang w:val="it-IT"/>
      </w:rPr>
    </w:lvl>
    <w:lvl w:ilvl="2">
      <w:start w:val="1"/>
      <w:numFmt w:val="bullet"/>
      <w:lvlText w:val="▪"/>
      <w:lvlJc w:val="left"/>
      <w:pPr>
        <w:tabs>
          <w:tab w:val="num" w:pos="2094"/>
        </w:tabs>
        <w:ind w:left="2094" w:hanging="300"/>
      </w:pPr>
      <w:rPr>
        <w:rFonts w:ascii="Verdana" w:eastAsia="Verdana" w:hAnsi="Verdana" w:cs="Verdana"/>
        <w:position w:val="0"/>
        <w:sz w:val="20"/>
        <w:szCs w:val="20"/>
        <w:lang w:val="it-IT"/>
      </w:rPr>
    </w:lvl>
    <w:lvl w:ilvl="3">
      <w:start w:val="1"/>
      <w:numFmt w:val="bullet"/>
      <w:lvlText w:val="•"/>
      <w:lvlJc w:val="left"/>
      <w:pPr>
        <w:tabs>
          <w:tab w:val="num" w:pos="2814"/>
        </w:tabs>
        <w:ind w:left="2814" w:hanging="300"/>
      </w:pPr>
      <w:rPr>
        <w:rFonts w:ascii="Verdana" w:eastAsia="Verdana" w:hAnsi="Verdana" w:cs="Verdana"/>
        <w:position w:val="0"/>
        <w:sz w:val="20"/>
        <w:szCs w:val="20"/>
        <w:lang w:val="it-IT"/>
      </w:rPr>
    </w:lvl>
    <w:lvl w:ilvl="4">
      <w:start w:val="1"/>
      <w:numFmt w:val="bullet"/>
      <w:lvlText w:val="o"/>
      <w:lvlJc w:val="left"/>
      <w:pPr>
        <w:tabs>
          <w:tab w:val="num" w:pos="3534"/>
        </w:tabs>
        <w:ind w:left="3534" w:hanging="300"/>
      </w:pPr>
      <w:rPr>
        <w:rFonts w:ascii="Verdana" w:eastAsia="Verdana" w:hAnsi="Verdana" w:cs="Verdana"/>
        <w:position w:val="0"/>
        <w:sz w:val="20"/>
        <w:szCs w:val="20"/>
        <w:lang w:val="it-IT"/>
      </w:rPr>
    </w:lvl>
    <w:lvl w:ilvl="5">
      <w:start w:val="1"/>
      <w:numFmt w:val="bullet"/>
      <w:lvlText w:val="▪"/>
      <w:lvlJc w:val="left"/>
      <w:pPr>
        <w:tabs>
          <w:tab w:val="num" w:pos="4254"/>
        </w:tabs>
        <w:ind w:left="4254" w:hanging="300"/>
      </w:pPr>
      <w:rPr>
        <w:rFonts w:ascii="Verdana" w:eastAsia="Verdana" w:hAnsi="Verdana" w:cs="Verdana"/>
        <w:position w:val="0"/>
        <w:sz w:val="20"/>
        <w:szCs w:val="20"/>
        <w:lang w:val="it-IT"/>
      </w:rPr>
    </w:lvl>
    <w:lvl w:ilvl="6">
      <w:start w:val="1"/>
      <w:numFmt w:val="bullet"/>
      <w:lvlText w:val="•"/>
      <w:lvlJc w:val="left"/>
      <w:pPr>
        <w:tabs>
          <w:tab w:val="num" w:pos="4974"/>
        </w:tabs>
        <w:ind w:left="4974" w:hanging="300"/>
      </w:pPr>
      <w:rPr>
        <w:rFonts w:ascii="Verdana" w:eastAsia="Verdana" w:hAnsi="Verdana" w:cs="Verdana"/>
        <w:position w:val="0"/>
        <w:sz w:val="20"/>
        <w:szCs w:val="20"/>
        <w:lang w:val="it-IT"/>
      </w:rPr>
    </w:lvl>
    <w:lvl w:ilvl="7">
      <w:start w:val="1"/>
      <w:numFmt w:val="bullet"/>
      <w:lvlText w:val="o"/>
      <w:lvlJc w:val="left"/>
      <w:pPr>
        <w:tabs>
          <w:tab w:val="num" w:pos="5694"/>
        </w:tabs>
        <w:ind w:left="5694" w:hanging="300"/>
      </w:pPr>
      <w:rPr>
        <w:rFonts w:ascii="Verdana" w:eastAsia="Verdana" w:hAnsi="Verdana" w:cs="Verdana"/>
        <w:position w:val="0"/>
        <w:sz w:val="20"/>
        <w:szCs w:val="20"/>
        <w:lang w:val="it-IT"/>
      </w:rPr>
    </w:lvl>
    <w:lvl w:ilvl="8">
      <w:start w:val="1"/>
      <w:numFmt w:val="bullet"/>
      <w:lvlText w:val="▪"/>
      <w:lvlJc w:val="left"/>
      <w:pPr>
        <w:tabs>
          <w:tab w:val="num" w:pos="6414"/>
        </w:tabs>
        <w:ind w:left="6414" w:hanging="300"/>
      </w:pPr>
      <w:rPr>
        <w:rFonts w:ascii="Verdana" w:eastAsia="Verdana" w:hAnsi="Verdana" w:cs="Verdana"/>
        <w:position w:val="0"/>
        <w:sz w:val="20"/>
        <w:szCs w:val="20"/>
        <w:lang w:val="it-IT"/>
      </w:rPr>
    </w:lvl>
  </w:abstractNum>
  <w:abstractNum w:abstractNumId="30" w15:restartNumberingAfterBreak="0">
    <w:nsid w:val="4D5C78A8"/>
    <w:multiLevelType w:val="multilevel"/>
    <w:tmpl w:val="16CCE01A"/>
    <w:lvl w:ilvl="0">
      <w:numFmt w:val="bullet"/>
      <w:lvlText w:val="-"/>
      <w:lvlJc w:val="left"/>
      <w:pPr>
        <w:tabs>
          <w:tab w:val="num" w:pos="994"/>
        </w:tabs>
        <w:ind w:left="994" w:hanging="640"/>
      </w:pPr>
      <w:rPr>
        <w:rFonts w:ascii="Verdana" w:eastAsia="Verdana" w:hAnsi="Verdana" w:cs="Verdana"/>
        <w:position w:val="0"/>
        <w:sz w:val="24"/>
        <w:szCs w:val="24"/>
      </w:rPr>
    </w:lvl>
    <w:lvl w:ilvl="1">
      <w:start w:val="1"/>
      <w:numFmt w:val="bullet"/>
      <w:lvlText w:val="o"/>
      <w:lvlJc w:val="left"/>
      <w:pPr>
        <w:tabs>
          <w:tab w:val="num" w:pos="1374"/>
        </w:tabs>
        <w:ind w:left="1374" w:hanging="300"/>
      </w:pPr>
      <w:rPr>
        <w:rFonts w:ascii="Verdana" w:eastAsia="Verdana" w:hAnsi="Verdana" w:cs="Verdana"/>
        <w:position w:val="0"/>
        <w:sz w:val="20"/>
        <w:szCs w:val="20"/>
      </w:rPr>
    </w:lvl>
    <w:lvl w:ilvl="2">
      <w:start w:val="1"/>
      <w:numFmt w:val="bullet"/>
      <w:lvlText w:val="▪"/>
      <w:lvlJc w:val="left"/>
      <w:pPr>
        <w:tabs>
          <w:tab w:val="num" w:pos="2094"/>
        </w:tabs>
        <w:ind w:left="2094" w:hanging="300"/>
      </w:pPr>
      <w:rPr>
        <w:rFonts w:ascii="Verdana" w:eastAsia="Verdana" w:hAnsi="Verdana" w:cs="Verdana"/>
        <w:position w:val="0"/>
        <w:sz w:val="20"/>
        <w:szCs w:val="20"/>
      </w:rPr>
    </w:lvl>
    <w:lvl w:ilvl="3">
      <w:start w:val="1"/>
      <w:numFmt w:val="bullet"/>
      <w:lvlText w:val="•"/>
      <w:lvlJc w:val="left"/>
      <w:pPr>
        <w:tabs>
          <w:tab w:val="num" w:pos="2814"/>
        </w:tabs>
        <w:ind w:left="2814" w:hanging="300"/>
      </w:pPr>
      <w:rPr>
        <w:rFonts w:ascii="Verdana" w:eastAsia="Verdana" w:hAnsi="Verdana" w:cs="Verdana"/>
        <w:position w:val="0"/>
        <w:sz w:val="20"/>
        <w:szCs w:val="20"/>
      </w:rPr>
    </w:lvl>
    <w:lvl w:ilvl="4">
      <w:start w:val="1"/>
      <w:numFmt w:val="bullet"/>
      <w:lvlText w:val="o"/>
      <w:lvlJc w:val="left"/>
      <w:pPr>
        <w:tabs>
          <w:tab w:val="num" w:pos="3534"/>
        </w:tabs>
        <w:ind w:left="3534" w:hanging="300"/>
      </w:pPr>
      <w:rPr>
        <w:rFonts w:ascii="Verdana" w:eastAsia="Verdana" w:hAnsi="Verdana" w:cs="Verdana"/>
        <w:position w:val="0"/>
        <w:sz w:val="20"/>
        <w:szCs w:val="20"/>
      </w:rPr>
    </w:lvl>
    <w:lvl w:ilvl="5">
      <w:start w:val="1"/>
      <w:numFmt w:val="bullet"/>
      <w:lvlText w:val="▪"/>
      <w:lvlJc w:val="left"/>
      <w:pPr>
        <w:tabs>
          <w:tab w:val="num" w:pos="4254"/>
        </w:tabs>
        <w:ind w:left="4254" w:hanging="300"/>
      </w:pPr>
      <w:rPr>
        <w:rFonts w:ascii="Verdana" w:eastAsia="Verdana" w:hAnsi="Verdana" w:cs="Verdana"/>
        <w:position w:val="0"/>
        <w:sz w:val="20"/>
        <w:szCs w:val="20"/>
      </w:rPr>
    </w:lvl>
    <w:lvl w:ilvl="6">
      <w:start w:val="1"/>
      <w:numFmt w:val="bullet"/>
      <w:lvlText w:val="•"/>
      <w:lvlJc w:val="left"/>
      <w:pPr>
        <w:tabs>
          <w:tab w:val="num" w:pos="4974"/>
        </w:tabs>
        <w:ind w:left="4974" w:hanging="300"/>
      </w:pPr>
      <w:rPr>
        <w:rFonts w:ascii="Verdana" w:eastAsia="Verdana" w:hAnsi="Verdana" w:cs="Verdana"/>
        <w:position w:val="0"/>
        <w:sz w:val="20"/>
        <w:szCs w:val="20"/>
      </w:rPr>
    </w:lvl>
    <w:lvl w:ilvl="7">
      <w:start w:val="1"/>
      <w:numFmt w:val="bullet"/>
      <w:lvlText w:val="o"/>
      <w:lvlJc w:val="left"/>
      <w:pPr>
        <w:tabs>
          <w:tab w:val="num" w:pos="5694"/>
        </w:tabs>
        <w:ind w:left="5694" w:hanging="300"/>
      </w:pPr>
      <w:rPr>
        <w:rFonts w:ascii="Verdana" w:eastAsia="Verdana" w:hAnsi="Verdana" w:cs="Verdana"/>
        <w:position w:val="0"/>
        <w:sz w:val="20"/>
        <w:szCs w:val="20"/>
      </w:rPr>
    </w:lvl>
    <w:lvl w:ilvl="8">
      <w:start w:val="1"/>
      <w:numFmt w:val="bullet"/>
      <w:lvlText w:val="▪"/>
      <w:lvlJc w:val="left"/>
      <w:pPr>
        <w:tabs>
          <w:tab w:val="num" w:pos="6414"/>
        </w:tabs>
        <w:ind w:left="6414" w:hanging="300"/>
      </w:pPr>
      <w:rPr>
        <w:rFonts w:ascii="Verdana" w:eastAsia="Verdana" w:hAnsi="Verdana" w:cs="Verdana"/>
        <w:position w:val="0"/>
        <w:sz w:val="20"/>
        <w:szCs w:val="20"/>
      </w:rPr>
    </w:lvl>
  </w:abstractNum>
  <w:abstractNum w:abstractNumId="31" w15:restartNumberingAfterBreak="0">
    <w:nsid w:val="52DD315A"/>
    <w:multiLevelType w:val="multilevel"/>
    <w:tmpl w:val="1B7E06F8"/>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32" w15:restartNumberingAfterBreak="0">
    <w:nsid w:val="53233D67"/>
    <w:multiLevelType w:val="hybridMultilevel"/>
    <w:tmpl w:val="1090E64E"/>
    <w:lvl w:ilvl="0" w:tplc="23C49F8A">
      <w:start w:val="1"/>
      <w:numFmt w:val="bullet"/>
      <w:lvlText w:val="-"/>
      <w:lvlJc w:val="left"/>
      <w:pPr>
        <w:ind w:left="1589" w:hanging="880"/>
      </w:pPr>
      <w:rPr>
        <w:rFonts w:ascii="Verdana" w:eastAsia="Times New Roman" w:hAnsi="Verdana" w:cs="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3" w15:restartNumberingAfterBreak="0">
    <w:nsid w:val="534B3961"/>
    <w:multiLevelType w:val="multilevel"/>
    <w:tmpl w:val="D9EA87C8"/>
    <w:lvl w:ilvl="0">
      <w:start w:val="1"/>
      <w:numFmt w:val="lowerLetter"/>
      <w:lvlText w:val="%1)"/>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56AC4B62"/>
    <w:multiLevelType w:val="multilevel"/>
    <w:tmpl w:val="89B08D14"/>
    <w:lvl w:ilvl="0">
      <w:numFmt w:val="bullet"/>
      <w:lvlText w:val="-"/>
      <w:lvlJc w:val="left"/>
      <w:pPr>
        <w:tabs>
          <w:tab w:val="num" w:pos="218"/>
        </w:tabs>
        <w:ind w:left="218" w:hanging="218"/>
      </w:pPr>
      <w:rPr>
        <w:rFonts w:ascii="Verdana" w:eastAsia="Verdana" w:hAnsi="Verdana" w:cs="Verdana"/>
        <w:position w:val="4"/>
        <w:sz w:val="29"/>
        <w:szCs w:val="29"/>
        <w:rtl w:val="0"/>
      </w:rPr>
    </w:lvl>
    <w:lvl w:ilvl="1">
      <w:start w:val="1"/>
      <w:numFmt w:val="bullet"/>
      <w:lvlText w:val="-"/>
      <w:lvlJc w:val="left"/>
      <w:pPr>
        <w:tabs>
          <w:tab w:val="num" w:pos="458"/>
        </w:tabs>
        <w:ind w:left="458" w:hanging="218"/>
      </w:pPr>
      <w:rPr>
        <w:rFonts w:ascii="Verdana" w:eastAsia="Verdana" w:hAnsi="Verdana" w:cs="Verdana"/>
        <w:position w:val="4"/>
        <w:sz w:val="24"/>
        <w:szCs w:val="24"/>
        <w:rtl w:val="0"/>
      </w:rPr>
    </w:lvl>
    <w:lvl w:ilvl="2">
      <w:start w:val="1"/>
      <w:numFmt w:val="bullet"/>
      <w:lvlText w:val="-"/>
      <w:lvlJc w:val="left"/>
      <w:pPr>
        <w:tabs>
          <w:tab w:val="num" w:pos="698"/>
        </w:tabs>
        <w:ind w:left="698" w:hanging="218"/>
      </w:pPr>
      <w:rPr>
        <w:rFonts w:ascii="Verdana" w:eastAsia="Verdana" w:hAnsi="Verdana" w:cs="Verdana"/>
        <w:position w:val="4"/>
        <w:sz w:val="24"/>
        <w:szCs w:val="24"/>
        <w:rtl w:val="0"/>
      </w:rPr>
    </w:lvl>
    <w:lvl w:ilvl="3">
      <w:start w:val="1"/>
      <w:numFmt w:val="bullet"/>
      <w:lvlText w:val="-"/>
      <w:lvlJc w:val="left"/>
      <w:pPr>
        <w:tabs>
          <w:tab w:val="num" w:pos="938"/>
        </w:tabs>
        <w:ind w:left="938" w:hanging="218"/>
      </w:pPr>
      <w:rPr>
        <w:rFonts w:ascii="Verdana" w:eastAsia="Verdana" w:hAnsi="Verdana" w:cs="Verdana"/>
        <w:position w:val="4"/>
        <w:sz w:val="24"/>
        <w:szCs w:val="24"/>
        <w:rtl w:val="0"/>
      </w:rPr>
    </w:lvl>
    <w:lvl w:ilvl="4">
      <w:start w:val="1"/>
      <w:numFmt w:val="bullet"/>
      <w:lvlText w:val="-"/>
      <w:lvlJc w:val="left"/>
      <w:pPr>
        <w:tabs>
          <w:tab w:val="num" w:pos="1178"/>
        </w:tabs>
        <w:ind w:left="1178" w:hanging="218"/>
      </w:pPr>
      <w:rPr>
        <w:rFonts w:ascii="Verdana" w:eastAsia="Verdana" w:hAnsi="Verdana" w:cs="Verdana"/>
        <w:position w:val="4"/>
        <w:sz w:val="24"/>
        <w:szCs w:val="24"/>
        <w:rtl w:val="0"/>
      </w:rPr>
    </w:lvl>
    <w:lvl w:ilvl="5">
      <w:start w:val="1"/>
      <w:numFmt w:val="bullet"/>
      <w:lvlText w:val="-"/>
      <w:lvlJc w:val="left"/>
      <w:pPr>
        <w:tabs>
          <w:tab w:val="num" w:pos="1418"/>
        </w:tabs>
        <w:ind w:left="1418" w:hanging="218"/>
      </w:pPr>
      <w:rPr>
        <w:rFonts w:ascii="Verdana" w:eastAsia="Verdana" w:hAnsi="Verdana" w:cs="Verdana"/>
        <w:position w:val="4"/>
        <w:sz w:val="24"/>
        <w:szCs w:val="24"/>
        <w:rtl w:val="0"/>
      </w:rPr>
    </w:lvl>
    <w:lvl w:ilvl="6">
      <w:start w:val="1"/>
      <w:numFmt w:val="bullet"/>
      <w:lvlText w:val="-"/>
      <w:lvlJc w:val="left"/>
      <w:pPr>
        <w:tabs>
          <w:tab w:val="num" w:pos="1658"/>
        </w:tabs>
        <w:ind w:left="1658" w:hanging="218"/>
      </w:pPr>
      <w:rPr>
        <w:rFonts w:ascii="Verdana" w:eastAsia="Verdana" w:hAnsi="Verdana" w:cs="Verdana"/>
        <w:position w:val="4"/>
        <w:sz w:val="24"/>
        <w:szCs w:val="24"/>
        <w:rtl w:val="0"/>
      </w:rPr>
    </w:lvl>
    <w:lvl w:ilvl="7">
      <w:start w:val="1"/>
      <w:numFmt w:val="bullet"/>
      <w:lvlText w:val="-"/>
      <w:lvlJc w:val="left"/>
      <w:pPr>
        <w:tabs>
          <w:tab w:val="num" w:pos="1898"/>
        </w:tabs>
        <w:ind w:left="1898" w:hanging="218"/>
      </w:pPr>
      <w:rPr>
        <w:rFonts w:ascii="Verdana" w:eastAsia="Verdana" w:hAnsi="Verdana" w:cs="Verdana"/>
        <w:position w:val="4"/>
        <w:sz w:val="24"/>
        <w:szCs w:val="24"/>
        <w:rtl w:val="0"/>
      </w:rPr>
    </w:lvl>
    <w:lvl w:ilvl="8">
      <w:start w:val="1"/>
      <w:numFmt w:val="bullet"/>
      <w:lvlText w:val="-"/>
      <w:lvlJc w:val="left"/>
      <w:pPr>
        <w:tabs>
          <w:tab w:val="num" w:pos="2138"/>
        </w:tabs>
        <w:ind w:left="2138" w:hanging="218"/>
      </w:pPr>
      <w:rPr>
        <w:rFonts w:ascii="Verdana" w:eastAsia="Verdana" w:hAnsi="Verdana" w:cs="Verdana"/>
        <w:position w:val="4"/>
        <w:sz w:val="24"/>
        <w:szCs w:val="24"/>
        <w:rtl w:val="0"/>
      </w:rPr>
    </w:lvl>
  </w:abstractNum>
  <w:abstractNum w:abstractNumId="35" w15:restartNumberingAfterBreak="0">
    <w:nsid w:val="59E6110E"/>
    <w:multiLevelType w:val="hybridMultilevel"/>
    <w:tmpl w:val="3FC48FDA"/>
    <w:lvl w:ilvl="0" w:tplc="2222D57A">
      <w:start w:val="1"/>
      <w:numFmt w:val="lowerRoman"/>
      <w:lvlText w:val="%1."/>
      <w:lvlJc w:val="left"/>
      <w:pPr>
        <w:ind w:left="502" w:hanging="360"/>
      </w:pPr>
      <w:rPr>
        <w:rFonts w:ascii="Verdana" w:eastAsia="Arial Unicode MS" w:hAnsi="Arial Unicode MS" w:cs="Arial Unicode M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5B5B7ACC"/>
    <w:multiLevelType w:val="multilevel"/>
    <w:tmpl w:val="7BF022EE"/>
    <w:lvl w:ilvl="0">
      <w:numFmt w:val="bullet"/>
      <w:lvlText w:val="-"/>
      <w:lvlJc w:val="left"/>
      <w:pPr>
        <w:tabs>
          <w:tab w:val="num" w:pos="994"/>
        </w:tabs>
        <w:ind w:left="994" w:hanging="640"/>
      </w:pPr>
      <w:rPr>
        <w:rFonts w:ascii="Verdana" w:eastAsia="Verdana" w:hAnsi="Verdana" w:cs="Verdana"/>
        <w:position w:val="0"/>
        <w:sz w:val="24"/>
        <w:szCs w:val="24"/>
      </w:rPr>
    </w:lvl>
    <w:lvl w:ilvl="1">
      <w:start w:val="1"/>
      <w:numFmt w:val="bullet"/>
      <w:lvlText w:val="o"/>
      <w:lvlJc w:val="left"/>
      <w:pPr>
        <w:tabs>
          <w:tab w:val="num" w:pos="1374"/>
        </w:tabs>
        <w:ind w:left="1374" w:hanging="300"/>
      </w:pPr>
      <w:rPr>
        <w:rFonts w:ascii="Verdana" w:eastAsia="Verdana" w:hAnsi="Verdana" w:cs="Verdana"/>
        <w:position w:val="0"/>
        <w:sz w:val="20"/>
        <w:szCs w:val="20"/>
      </w:rPr>
    </w:lvl>
    <w:lvl w:ilvl="2">
      <w:start w:val="1"/>
      <w:numFmt w:val="bullet"/>
      <w:lvlText w:val="▪"/>
      <w:lvlJc w:val="left"/>
      <w:pPr>
        <w:tabs>
          <w:tab w:val="num" w:pos="2094"/>
        </w:tabs>
        <w:ind w:left="2094" w:hanging="300"/>
      </w:pPr>
      <w:rPr>
        <w:rFonts w:ascii="Verdana" w:eastAsia="Verdana" w:hAnsi="Verdana" w:cs="Verdana"/>
        <w:position w:val="0"/>
        <w:sz w:val="20"/>
        <w:szCs w:val="20"/>
      </w:rPr>
    </w:lvl>
    <w:lvl w:ilvl="3">
      <w:start w:val="1"/>
      <w:numFmt w:val="bullet"/>
      <w:lvlText w:val="•"/>
      <w:lvlJc w:val="left"/>
      <w:pPr>
        <w:tabs>
          <w:tab w:val="num" w:pos="2814"/>
        </w:tabs>
        <w:ind w:left="2814" w:hanging="300"/>
      </w:pPr>
      <w:rPr>
        <w:rFonts w:ascii="Verdana" w:eastAsia="Verdana" w:hAnsi="Verdana" w:cs="Verdana"/>
        <w:position w:val="0"/>
        <w:sz w:val="20"/>
        <w:szCs w:val="20"/>
      </w:rPr>
    </w:lvl>
    <w:lvl w:ilvl="4">
      <w:start w:val="1"/>
      <w:numFmt w:val="bullet"/>
      <w:lvlText w:val="o"/>
      <w:lvlJc w:val="left"/>
      <w:pPr>
        <w:tabs>
          <w:tab w:val="num" w:pos="3534"/>
        </w:tabs>
        <w:ind w:left="3534" w:hanging="300"/>
      </w:pPr>
      <w:rPr>
        <w:rFonts w:ascii="Verdana" w:eastAsia="Verdana" w:hAnsi="Verdana" w:cs="Verdana"/>
        <w:position w:val="0"/>
        <w:sz w:val="20"/>
        <w:szCs w:val="20"/>
      </w:rPr>
    </w:lvl>
    <w:lvl w:ilvl="5">
      <w:start w:val="1"/>
      <w:numFmt w:val="bullet"/>
      <w:lvlText w:val="▪"/>
      <w:lvlJc w:val="left"/>
      <w:pPr>
        <w:tabs>
          <w:tab w:val="num" w:pos="4254"/>
        </w:tabs>
        <w:ind w:left="4254" w:hanging="300"/>
      </w:pPr>
      <w:rPr>
        <w:rFonts w:ascii="Verdana" w:eastAsia="Verdana" w:hAnsi="Verdana" w:cs="Verdana"/>
        <w:position w:val="0"/>
        <w:sz w:val="20"/>
        <w:szCs w:val="20"/>
      </w:rPr>
    </w:lvl>
    <w:lvl w:ilvl="6">
      <w:start w:val="1"/>
      <w:numFmt w:val="bullet"/>
      <w:lvlText w:val="•"/>
      <w:lvlJc w:val="left"/>
      <w:pPr>
        <w:tabs>
          <w:tab w:val="num" w:pos="4974"/>
        </w:tabs>
        <w:ind w:left="4974" w:hanging="300"/>
      </w:pPr>
      <w:rPr>
        <w:rFonts w:ascii="Verdana" w:eastAsia="Verdana" w:hAnsi="Verdana" w:cs="Verdana"/>
        <w:position w:val="0"/>
        <w:sz w:val="20"/>
        <w:szCs w:val="20"/>
      </w:rPr>
    </w:lvl>
    <w:lvl w:ilvl="7">
      <w:start w:val="1"/>
      <w:numFmt w:val="bullet"/>
      <w:lvlText w:val="o"/>
      <w:lvlJc w:val="left"/>
      <w:pPr>
        <w:tabs>
          <w:tab w:val="num" w:pos="5694"/>
        </w:tabs>
        <w:ind w:left="5694" w:hanging="300"/>
      </w:pPr>
      <w:rPr>
        <w:rFonts w:ascii="Verdana" w:eastAsia="Verdana" w:hAnsi="Verdana" w:cs="Verdana"/>
        <w:position w:val="0"/>
        <w:sz w:val="20"/>
        <w:szCs w:val="20"/>
      </w:rPr>
    </w:lvl>
    <w:lvl w:ilvl="8">
      <w:start w:val="1"/>
      <w:numFmt w:val="bullet"/>
      <w:lvlText w:val="▪"/>
      <w:lvlJc w:val="left"/>
      <w:pPr>
        <w:tabs>
          <w:tab w:val="num" w:pos="6414"/>
        </w:tabs>
        <w:ind w:left="6414" w:hanging="300"/>
      </w:pPr>
      <w:rPr>
        <w:rFonts w:ascii="Verdana" w:eastAsia="Verdana" w:hAnsi="Verdana" w:cs="Verdana"/>
        <w:position w:val="0"/>
        <w:sz w:val="20"/>
        <w:szCs w:val="20"/>
      </w:rPr>
    </w:lvl>
  </w:abstractNum>
  <w:abstractNum w:abstractNumId="37" w15:restartNumberingAfterBreak="0">
    <w:nsid w:val="5F091914"/>
    <w:multiLevelType w:val="hybridMultilevel"/>
    <w:tmpl w:val="CC92AD6C"/>
    <w:lvl w:ilvl="0" w:tplc="726E607C">
      <w:start w:val="1"/>
      <w:numFmt w:val="bullet"/>
      <w:lvlText w:val="-"/>
      <w:lvlJc w:val="left"/>
      <w:pPr>
        <w:ind w:left="714" w:hanging="360"/>
      </w:pPr>
      <w:rPr>
        <w:rFonts w:ascii="Verdana" w:eastAsia="Arial Unicode MS" w:hAnsi="Verdana" w:cs="Arial Unicode MS" w:hint="default"/>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38" w15:restartNumberingAfterBreak="0">
    <w:nsid w:val="61530172"/>
    <w:multiLevelType w:val="hybridMultilevel"/>
    <w:tmpl w:val="ACEC6248"/>
    <w:lvl w:ilvl="0" w:tplc="240402A4">
      <w:numFmt w:val="bullet"/>
      <w:lvlText w:val="-"/>
      <w:lvlJc w:val="left"/>
      <w:pPr>
        <w:ind w:left="1068" w:hanging="360"/>
      </w:pPr>
      <w:rPr>
        <w:rFonts w:ascii="Verdana" w:eastAsiaTheme="minorHAnsi" w:hAnsi="Verdan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619270ED"/>
    <w:multiLevelType w:val="multilevel"/>
    <w:tmpl w:val="20C0D94E"/>
    <w:lvl w:ilvl="0">
      <w:numFmt w:val="bullet"/>
      <w:lvlText w:val="-"/>
      <w:lvlJc w:val="left"/>
      <w:pPr>
        <w:tabs>
          <w:tab w:val="num" w:pos="218"/>
        </w:tabs>
        <w:ind w:left="218" w:hanging="218"/>
      </w:pPr>
      <w:rPr>
        <w:rFonts w:ascii="Verdana" w:eastAsia="Verdana" w:hAnsi="Verdana" w:cs="Verdana"/>
        <w:position w:val="4"/>
        <w:sz w:val="29"/>
        <w:szCs w:val="29"/>
        <w:u w:val="single"/>
        <w:rtl w:val="0"/>
      </w:rPr>
    </w:lvl>
    <w:lvl w:ilvl="1">
      <w:start w:val="1"/>
      <w:numFmt w:val="bullet"/>
      <w:lvlText w:val="-"/>
      <w:lvlJc w:val="left"/>
      <w:pPr>
        <w:tabs>
          <w:tab w:val="num" w:pos="458"/>
        </w:tabs>
        <w:ind w:left="458" w:hanging="218"/>
      </w:pPr>
      <w:rPr>
        <w:rFonts w:ascii="Verdana" w:eastAsia="Verdana" w:hAnsi="Verdana" w:cs="Verdana"/>
        <w:position w:val="4"/>
        <w:sz w:val="24"/>
        <w:szCs w:val="24"/>
        <w:u w:val="single"/>
        <w:rtl w:val="0"/>
      </w:rPr>
    </w:lvl>
    <w:lvl w:ilvl="2">
      <w:start w:val="1"/>
      <w:numFmt w:val="bullet"/>
      <w:lvlText w:val="-"/>
      <w:lvlJc w:val="left"/>
      <w:pPr>
        <w:tabs>
          <w:tab w:val="num" w:pos="698"/>
        </w:tabs>
        <w:ind w:left="698" w:hanging="218"/>
      </w:pPr>
      <w:rPr>
        <w:rFonts w:ascii="Verdana" w:eastAsia="Verdana" w:hAnsi="Verdana" w:cs="Verdana"/>
        <w:position w:val="4"/>
        <w:sz w:val="24"/>
        <w:szCs w:val="24"/>
        <w:u w:val="single"/>
        <w:rtl w:val="0"/>
      </w:rPr>
    </w:lvl>
    <w:lvl w:ilvl="3">
      <w:start w:val="1"/>
      <w:numFmt w:val="bullet"/>
      <w:lvlText w:val="-"/>
      <w:lvlJc w:val="left"/>
      <w:pPr>
        <w:tabs>
          <w:tab w:val="num" w:pos="938"/>
        </w:tabs>
        <w:ind w:left="938" w:hanging="218"/>
      </w:pPr>
      <w:rPr>
        <w:rFonts w:ascii="Verdana" w:eastAsia="Verdana" w:hAnsi="Verdana" w:cs="Verdana"/>
        <w:position w:val="4"/>
        <w:sz w:val="24"/>
        <w:szCs w:val="24"/>
        <w:u w:val="single"/>
        <w:rtl w:val="0"/>
      </w:rPr>
    </w:lvl>
    <w:lvl w:ilvl="4">
      <w:start w:val="1"/>
      <w:numFmt w:val="bullet"/>
      <w:lvlText w:val="-"/>
      <w:lvlJc w:val="left"/>
      <w:pPr>
        <w:tabs>
          <w:tab w:val="num" w:pos="1178"/>
        </w:tabs>
        <w:ind w:left="1178" w:hanging="218"/>
      </w:pPr>
      <w:rPr>
        <w:rFonts w:ascii="Verdana" w:eastAsia="Verdana" w:hAnsi="Verdana" w:cs="Verdana"/>
        <w:position w:val="4"/>
        <w:sz w:val="24"/>
        <w:szCs w:val="24"/>
        <w:u w:val="single"/>
        <w:rtl w:val="0"/>
      </w:rPr>
    </w:lvl>
    <w:lvl w:ilvl="5">
      <w:start w:val="1"/>
      <w:numFmt w:val="bullet"/>
      <w:lvlText w:val="-"/>
      <w:lvlJc w:val="left"/>
      <w:pPr>
        <w:tabs>
          <w:tab w:val="num" w:pos="1418"/>
        </w:tabs>
        <w:ind w:left="1418" w:hanging="218"/>
      </w:pPr>
      <w:rPr>
        <w:rFonts w:ascii="Verdana" w:eastAsia="Verdana" w:hAnsi="Verdana" w:cs="Verdana"/>
        <w:position w:val="4"/>
        <w:sz w:val="24"/>
        <w:szCs w:val="24"/>
        <w:u w:val="single"/>
        <w:rtl w:val="0"/>
      </w:rPr>
    </w:lvl>
    <w:lvl w:ilvl="6">
      <w:start w:val="1"/>
      <w:numFmt w:val="bullet"/>
      <w:lvlText w:val="-"/>
      <w:lvlJc w:val="left"/>
      <w:pPr>
        <w:tabs>
          <w:tab w:val="num" w:pos="1658"/>
        </w:tabs>
        <w:ind w:left="1658" w:hanging="218"/>
      </w:pPr>
      <w:rPr>
        <w:rFonts w:ascii="Verdana" w:eastAsia="Verdana" w:hAnsi="Verdana" w:cs="Verdana"/>
        <w:position w:val="4"/>
        <w:sz w:val="24"/>
        <w:szCs w:val="24"/>
        <w:u w:val="single"/>
        <w:rtl w:val="0"/>
      </w:rPr>
    </w:lvl>
    <w:lvl w:ilvl="7">
      <w:start w:val="1"/>
      <w:numFmt w:val="bullet"/>
      <w:lvlText w:val="-"/>
      <w:lvlJc w:val="left"/>
      <w:pPr>
        <w:tabs>
          <w:tab w:val="num" w:pos="1898"/>
        </w:tabs>
        <w:ind w:left="1898" w:hanging="218"/>
      </w:pPr>
      <w:rPr>
        <w:rFonts w:ascii="Verdana" w:eastAsia="Verdana" w:hAnsi="Verdana" w:cs="Verdana"/>
        <w:position w:val="4"/>
        <w:sz w:val="24"/>
        <w:szCs w:val="24"/>
        <w:u w:val="single"/>
        <w:rtl w:val="0"/>
      </w:rPr>
    </w:lvl>
    <w:lvl w:ilvl="8">
      <w:start w:val="1"/>
      <w:numFmt w:val="bullet"/>
      <w:lvlText w:val="-"/>
      <w:lvlJc w:val="left"/>
      <w:pPr>
        <w:tabs>
          <w:tab w:val="num" w:pos="2138"/>
        </w:tabs>
        <w:ind w:left="2138" w:hanging="218"/>
      </w:pPr>
      <w:rPr>
        <w:rFonts w:ascii="Verdana" w:eastAsia="Verdana" w:hAnsi="Verdana" w:cs="Verdana"/>
        <w:position w:val="4"/>
        <w:sz w:val="24"/>
        <w:szCs w:val="24"/>
        <w:u w:val="single"/>
        <w:rtl w:val="0"/>
      </w:rPr>
    </w:lvl>
  </w:abstractNum>
  <w:abstractNum w:abstractNumId="40" w15:restartNumberingAfterBreak="0">
    <w:nsid w:val="62C72D9C"/>
    <w:multiLevelType w:val="multilevel"/>
    <w:tmpl w:val="D38EAB28"/>
    <w:lvl w:ilvl="0">
      <w:numFmt w:val="bullet"/>
      <w:lvlText w:val="-"/>
      <w:lvlJc w:val="left"/>
      <w:pPr>
        <w:tabs>
          <w:tab w:val="num" w:pos="994"/>
        </w:tabs>
        <w:ind w:left="994" w:hanging="640"/>
      </w:pPr>
      <w:rPr>
        <w:rFonts w:ascii="Verdana" w:eastAsia="Verdana" w:hAnsi="Verdana" w:cs="Verdana"/>
        <w:position w:val="0"/>
        <w:sz w:val="20"/>
        <w:szCs w:val="20"/>
        <w:u w:val="none"/>
      </w:rPr>
    </w:lvl>
    <w:lvl w:ilvl="1">
      <w:start w:val="1"/>
      <w:numFmt w:val="bullet"/>
      <w:lvlText w:val="o"/>
      <w:lvlJc w:val="left"/>
      <w:pPr>
        <w:tabs>
          <w:tab w:val="num" w:pos="1374"/>
        </w:tabs>
        <w:ind w:left="1374" w:hanging="300"/>
      </w:pPr>
      <w:rPr>
        <w:rFonts w:ascii="Verdana" w:eastAsia="Verdana" w:hAnsi="Verdana" w:cs="Verdana"/>
        <w:position w:val="0"/>
        <w:sz w:val="20"/>
        <w:szCs w:val="20"/>
        <w:u w:val="single"/>
      </w:rPr>
    </w:lvl>
    <w:lvl w:ilvl="2">
      <w:start w:val="1"/>
      <w:numFmt w:val="bullet"/>
      <w:lvlText w:val="▪"/>
      <w:lvlJc w:val="left"/>
      <w:pPr>
        <w:tabs>
          <w:tab w:val="num" w:pos="2094"/>
        </w:tabs>
        <w:ind w:left="2094" w:hanging="300"/>
      </w:pPr>
      <w:rPr>
        <w:rFonts w:ascii="Verdana" w:eastAsia="Verdana" w:hAnsi="Verdana" w:cs="Verdana"/>
        <w:position w:val="0"/>
        <w:sz w:val="20"/>
        <w:szCs w:val="20"/>
        <w:u w:val="single"/>
      </w:rPr>
    </w:lvl>
    <w:lvl w:ilvl="3">
      <w:start w:val="1"/>
      <w:numFmt w:val="bullet"/>
      <w:lvlText w:val="•"/>
      <w:lvlJc w:val="left"/>
      <w:pPr>
        <w:tabs>
          <w:tab w:val="num" w:pos="2814"/>
        </w:tabs>
        <w:ind w:left="2814" w:hanging="300"/>
      </w:pPr>
      <w:rPr>
        <w:rFonts w:ascii="Verdana" w:eastAsia="Verdana" w:hAnsi="Verdana" w:cs="Verdana"/>
        <w:position w:val="0"/>
        <w:sz w:val="20"/>
        <w:szCs w:val="20"/>
        <w:u w:val="single"/>
      </w:rPr>
    </w:lvl>
    <w:lvl w:ilvl="4">
      <w:start w:val="1"/>
      <w:numFmt w:val="bullet"/>
      <w:lvlText w:val="o"/>
      <w:lvlJc w:val="left"/>
      <w:pPr>
        <w:tabs>
          <w:tab w:val="num" w:pos="3534"/>
        </w:tabs>
        <w:ind w:left="3534" w:hanging="300"/>
      </w:pPr>
      <w:rPr>
        <w:rFonts w:ascii="Verdana" w:eastAsia="Verdana" w:hAnsi="Verdana" w:cs="Verdana"/>
        <w:position w:val="0"/>
        <w:sz w:val="20"/>
        <w:szCs w:val="20"/>
        <w:u w:val="single"/>
      </w:rPr>
    </w:lvl>
    <w:lvl w:ilvl="5">
      <w:start w:val="1"/>
      <w:numFmt w:val="bullet"/>
      <w:lvlText w:val="▪"/>
      <w:lvlJc w:val="left"/>
      <w:pPr>
        <w:tabs>
          <w:tab w:val="num" w:pos="4254"/>
        </w:tabs>
        <w:ind w:left="4254" w:hanging="300"/>
      </w:pPr>
      <w:rPr>
        <w:rFonts w:ascii="Verdana" w:eastAsia="Verdana" w:hAnsi="Verdana" w:cs="Verdana"/>
        <w:position w:val="0"/>
        <w:sz w:val="20"/>
        <w:szCs w:val="20"/>
        <w:u w:val="single"/>
      </w:rPr>
    </w:lvl>
    <w:lvl w:ilvl="6">
      <w:start w:val="1"/>
      <w:numFmt w:val="bullet"/>
      <w:lvlText w:val="•"/>
      <w:lvlJc w:val="left"/>
      <w:pPr>
        <w:tabs>
          <w:tab w:val="num" w:pos="4974"/>
        </w:tabs>
        <w:ind w:left="4974" w:hanging="300"/>
      </w:pPr>
      <w:rPr>
        <w:rFonts w:ascii="Verdana" w:eastAsia="Verdana" w:hAnsi="Verdana" w:cs="Verdana"/>
        <w:position w:val="0"/>
        <w:sz w:val="20"/>
        <w:szCs w:val="20"/>
        <w:u w:val="single"/>
      </w:rPr>
    </w:lvl>
    <w:lvl w:ilvl="7">
      <w:start w:val="1"/>
      <w:numFmt w:val="bullet"/>
      <w:lvlText w:val="o"/>
      <w:lvlJc w:val="left"/>
      <w:pPr>
        <w:tabs>
          <w:tab w:val="num" w:pos="5694"/>
        </w:tabs>
        <w:ind w:left="5694" w:hanging="300"/>
      </w:pPr>
      <w:rPr>
        <w:rFonts w:ascii="Verdana" w:eastAsia="Verdana" w:hAnsi="Verdana" w:cs="Verdana"/>
        <w:position w:val="0"/>
        <w:sz w:val="20"/>
        <w:szCs w:val="20"/>
        <w:u w:val="single"/>
      </w:rPr>
    </w:lvl>
    <w:lvl w:ilvl="8">
      <w:start w:val="1"/>
      <w:numFmt w:val="bullet"/>
      <w:lvlText w:val="▪"/>
      <w:lvlJc w:val="left"/>
      <w:pPr>
        <w:tabs>
          <w:tab w:val="num" w:pos="6414"/>
        </w:tabs>
        <w:ind w:left="6414" w:hanging="300"/>
      </w:pPr>
      <w:rPr>
        <w:rFonts w:ascii="Verdana" w:eastAsia="Verdana" w:hAnsi="Verdana" w:cs="Verdana"/>
        <w:position w:val="0"/>
        <w:sz w:val="20"/>
        <w:szCs w:val="20"/>
        <w:u w:val="single"/>
      </w:rPr>
    </w:lvl>
  </w:abstractNum>
  <w:abstractNum w:abstractNumId="41" w15:restartNumberingAfterBreak="0">
    <w:nsid w:val="65D02E6D"/>
    <w:multiLevelType w:val="multilevel"/>
    <w:tmpl w:val="A7BC7022"/>
    <w:styleLink w:val="List1"/>
    <w:lvl w:ilvl="0">
      <w:start w:val="1"/>
      <w:numFmt w:val="lowerLetter"/>
      <w:lvlText w:val="%1)"/>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67783710"/>
    <w:multiLevelType w:val="multilevel"/>
    <w:tmpl w:val="288AB190"/>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43" w15:restartNumberingAfterBreak="0">
    <w:nsid w:val="69256CBC"/>
    <w:multiLevelType w:val="multilevel"/>
    <w:tmpl w:val="29C4D0F8"/>
    <w:lvl w:ilvl="0">
      <w:start w:val="1"/>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44" w15:restartNumberingAfterBreak="0">
    <w:nsid w:val="6B252F65"/>
    <w:multiLevelType w:val="multilevel"/>
    <w:tmpl w:val="F2A099AC"/>
    <w:lvl w:ilvl="0">
      <w:start w:val="1"/>
      <w:numFmt w:val="bullet"/>
      <w:lvlText w:val="-"/>
      <w:lvlJc w:val="left"/>
      <w:pPr>
        <w:tabs>
          <w:tab w:val="num" w:pos="218"/>
        </w:tabs>
        <w:ind w:left="218" w:hanging="218"/>
      </w:pPr>
      <w:rPr>
        <w:rFonts w:ascii="Verdana" w:eastAsia="Verdana" w:hAnsi="Verdana" w:cs="Verdana"/>
        <w:position w:val="4"/>
        <w:sz w:val="24"/>
        <w:szCs w:val="24"/>
        <w:rtl w:val="0"/>
      </w:rPr>
    </w:lvl>
    <w:lvl w:ilvl="1">
      <w:start w:val="1"/>
      <w:numFmt w:val="bullet"/>
      <w:lvlText w:val="-"/>
      <w:lvlJc w:val="left"/>
      <w:pPr>
        <w:tabs>
          <w:tab w:val="num" w:pos="458"/>
        </w:tabs>
        <w:ind w:left="458" w:hanging="218"/>
      </w:pPr>
      <w:rPr>
        <w:rFonts w:ascii="Verdana" w:eastAsia="Verdana" w:hAnsi="Verdana" w:cs="Verdana"/>
        <w:position w:val="4"/>
        <w:sz w:val="24"/>
        <w:szCs w:val="24"/>
        <w:rtl w:val="0"/>
      </w:rPr>
    </w:lvl>
    <w:lvl w:ilvl="2">
      <w:start w:val="1"/>
      <w:numFmt w:val="bullet"/>
      <w:lvlText w:val="-"/>
      <w:lvlJc w:val="left"/>
      <w:pPr>
        <w:tabs>
          <w:tab w:val="num" w:pos="698"/>
        </w:tabs>
        <w:ind w:left="698" w:hanging="218"/>
      </w:pPr>
      <w:rPr>
        <w:rFonts w:ascii="Verdana" w:eastAsia="Verdana" w:hAnsi="Verdana" w:cs="Verdana"/>
        <w:position w:val="4"/>
        <w:sz w:val="24"/>
        <w:szCs w:val="24"/>
        <w:rtl w:val="0"/>
      </w:rPr>
    </w:lvl>
    <w:lvl w:ilvl="3">
      <w:start w:val="1"/>
      <w:numFmt w:val="bullet"/>
      <w:lvlText w:val="-"/>
      <w:lvlJc w:val="left"/>
      <w:pPr>
        <w:tabs>
          <w:tab w:val="num" w:pos="938"/>
        </w:tabs>
        <w:ind w:left="938" w:hanging="218"/>
      </w:pPr>
      <w:rPr>
        <w:rFonts w:ascii="Verdana" w:eastAsia="Verdana" w:hAnsi="Verdana" w:cs="Verdana"/>
        <w:position w:val="4"/>
        <w:sz w:val="24"/>
        <w:szCs w:val="24"/>
        <w:rtl w:val="0"/>
      </w:rPr>
    </w:lvl>
    <w:lvl w:ilvl="4">
      <w:start w:val="1"/>
      <w:numFmt w:val="bullet"/>
      <w:lvlText w:val="-"/>
      <w:lvlJc w:val="left"/>
      <w:pPr>
        <w:tabs>
          <w:tab w:val="num" w:pos="1178"/>
        </w:tabs>
        <w:ind w:left="1178" w:hanging="218"/>
      </w:pPr>
      <w:rPr>
        <w:rFonts w:ascii="Verdana" w:eastAsia="Verdana" w:hAnsi="Verdana" w:cs="Verdana"/>
        <w:position w:val="4"/>
        <w:sz w:val="24"/>
        <w:szCs w:val="24"/>
        <w:rtl w:val="0"/>
      </w:rPr>
    </w:lvl>
    <w:lvl w:ilvl="5">
      <w:start w:val="1"/>
      <w:numFmt w:val="bullet"/>
      <w:lvlText w:val="-"/>
      <w:lvlJc w:val="left"/>
      <w:pPr>
        <w:tabs>
          <w:tab w:val="num" w:pos="1418"/>
        </w:tabs>
        <w:ind w:left="1418" w:hanging="218"/>
      </w:pPr>
      <w:rPr>
        <w:rFonts w:ascii="Verdana" w:eastAsia="Verdana" w:hAnsi="Verdana" w:cs="Verdana"/>
        <w:position w:val="4"/>
        <w:sz w:val="24"/>
        <w:szCs w:val="24"/>
        <w:rtl w:val="0"/>
      </w:rPr>
    </w:lvl>
    <w:lvl w:ilvl="6">
      <w:start w:val="1"/>
      <w:numFmt w:val="bullet"/>
      <w:lvlText w:val="-"/>
      <w:lvlJc w:val="left"/>
      <w:pPr>
        <w:tabs>
          <w:tab w:val="num" w:pos="1658"/>
        </w:tabs>
        <w:ind w:left="1658" w:hanging="218"/>
      </w:pPr>
      <w:rPr>
        <w:rFonts w:ascii="Verdana" w:eastAsia="Verdana" w:hAnsi="Verdana" w:cs="Verdana"/>
        <w:position w:val="4"/>
        <w:sz w:val="24"/>
        <w:szCs w:val="24"/>
        <w:rtl w:val="0"/>
      </w:rPr>
    </w:lvl>
    <w:lvl w:ilvl="7">
      <w:start w:val="1"/>
      <w:numFmt w:val="bullet"/>
      <w:lvlText w:val="-"/>
      <w:lvlJc w:val="left"/>
      <w:pPr>
        <w:tabs>
          <w:tab w:val="num" w:pos="1898"/>
        </w:tabs>
        <w:ind w:left="1898" w:hanging="218"/>
      </w:pPr>
      <w:rPr>
        <w:rFonts w:ascii="Verdana" w:eastAsia="Verdana" w:hAnsi="Verdana" w:cs="Verdana"/>
        <w:position w:val="4"/>
        <w:sz w:val="24"/>
        <w:szCs w:val="24"/>
        <w:rtl w:val="0"/>
      </w:rPr>
    </w:lvl>
    <w:lvl w:ilvl="8">
      <w:start w:val="1"/>
      <w:numFmt w:val="bullet"/>
      <w:lvlText w:val="-"/>
      <w:lvlJc w:val="left"/>
      <w:pPr>
        <w:tabs>
          <w:tab w:val="num" w:pos="2138"/>
        </w:tabs>
        <w:ind w:left="2138" w:hanging="218"/>
      </w:pPr>
      <w:rPr>
        <w:rFonts w:ascii="Verdana" w:eastAsia="Verdana" w:hAnsi="Verdana" w:cs="Verdana"/>
        <w:position w:val="4"/>
        <w:sz w:val="24"/>
        <w:szCs w:val="24"/>
        <w:rtl w:val="0"/>
      </w:rPr>
    </w:lvl>
  </w:abstractNum>
  <w:abstractNum w:abstractNumId="45" w15:restartNumberingAfterBreak="0">
    <w:nsid w:val="71646783"/>
    <w:multiLevelType w:val="multilevel"/>
    <w:tmpl w:val="B4C8DF70"/>
    <w:lvl w:ilvl="0">
      <w:numFmt w:val="bullet"/>
      <w:lvlText w:val="-"/>
      <w:lvlJc w:val="left"/>
      <w:pPr>
        <w:tabs>
          <w:tab w:val="num" w:pos="218"/>
        </w:tabs>
        <w:ind w:left="218" w:hanging="218"/>
      </w:pPr>
      <w:rPr>
        <w:rFonts w:ascii="Verdana" w:eastAsia="Verdana" w:hAnsi="Verdana" w:cs="Verdana"/>
        <w:position w:val="4"/>
        <w:sz w:val="29"/>
        <w:szCs w:val="29"/>
        <w:rtl w:val="0"/>
      </w:rPr>
    </w:lvl>
    <w:lvl w:ilvl="1">
      <w:start w:val="1"/>
      <w:numFmt w:val="bullet"/>
      <w:lvlText w:val="-"/>
      <w:lvlJc w:val="left"/>
      <w:pPr>
        <w:tabs>
          <w:tab w:val="num" w:pos="458"/>
        </w:tabs>
        <w:ind w:left="458" w:hanging="218"/>
      </w:pPr>
      <w:rPr>
        <w:rFonts w:ascii="Verdana" w:eastAsia="Verdana" w:hAnsi="Verdana" w:cs="Verdana"/>
        <w:position w:val="4"/>
        <w:sz w:val="24"/>
        <w:szCs w:val="24"/>
        <w:rtl w:val="0"/>
      </w:rPr>
    </w:lvl>
    <w:lvl w:ilvl="2">
      <w:start w:val="1"/>
      <w:numFmt w:val="bullet"/>
      <w:lvlText w:val="-"/>
      <w:lvlJc w:val="left"/>
      <w:pPr>
        <w:tabs>
          <w:tab w:val="num" w:pos="698"/>
        </w:tabs>
        <w:ind w:left="698" w:hanging="218"/>
      </w:pPr>
      <w:rPr>
        <w:rFonts w:ascii="Verdana" w:eastAsia="Verdana" w:hAnsi="Verdana" w:cs="Verdana"/>
        <w:position w:val="4"/>
        <w:sz w:val="24"/>
        <w:szCs w:val="24"/>
        <w:rtl w:val="0"/>
      </w:rPr>
    </w:lvl>
    <w:lvl w:ilvl="3">
      <w:start w:val="1"/>
      <w:numFmt w:val="bullet"/>
      <w:lvlText w:val="-"/>
      <w:lvlJc w:val="left"/>
      <w:pPr>
        <w:tabs>
          <w:tab w:val="num" w:pos="938"/>
        </w:tabs>
        <w:ind w:left="938" w:hanging="218"/>
      </w:pPr>
      <w:rPr>
        <w:rFonts w:ascii="Verdana" w:eastAsia="Verdana" w:hAnsi="Verdana" w:cs="Verdana"/>
        <w:position w:val="4"/>
        <w:sz w:val="24"/>
        <w:szCs w:val="24"/>
        <w:rtl w:val="0"/>
      </w:rPr>
    </w:lvl>
    <w:lvl w:ilvl="4">
      <w:start w:val="1"/>
      <w:numFmt w:val="bullet"/>
      <w:lvlText w:val="-"/>
      <w:lvlJc w:val="left"/>
      <w:pPr>
        <w:tabs>
          <w:tab w:val="num" w:pos="1178"/>
        </w:tabs>
        <w:ind w:left="1178" w:hanging="218"/>
      </w:pPr>
      <w:rPr>
        <w:rFonts w:ascii="Verdana" w:eastAsia="Verdana" w:hAnsi="Verdana" w:cs="Verdana"/>
        <w:position w:val="4"/>
        <w:sz w:val="24"/>
        <w:szCs w:val="24"/>
        <w:rtl w:val="0"/>
      </w:rPr>
    </w:lvl>
    <w:lvl w:ilvl="5">
      <w:start w:val="1"/>
      <w:numFmt w:val="bullet"/>
      <w:lvlText w:val="-"/>
      <w:lvlJc w:val="left"/>
      <w:pPr>
        <w:tabs>
          <w:tab w:val="num" w:pos="1418"/>
        </w:tabs>
        <w:ind w:left="1418" w:hanging="218"/>
      </w:pPr>
      <w:rPr>
        <w:rFonts w:ascii="Verdana" w:eastAsia="Verdana" w:hAnsi="Verdana" w:cs="Verdana"/>
        <w:position w:val="4"/>
        <w:sz w:val="24"/>
        <w:szCs w:val="24"/>
        <w:rtl w:val="0"/>
      </w:rPr>
    </w:lvl>
    <w:lvl w:ilvl="6">
      <w:start w:val="1"/>
      <w:numFmt w:val="bullet"/>
      <w:lvlText w:val="-"/>
      <w:lvlJc w:val="left"/>
      <w:pPr>
        <w:tabs>
          <w:tab w:val="num" w:pos="1658"/>
        </w:tabs>
        <w:ind w:left="1658" w:hanging="218"/>
      </w:pPr>
      <w:rPr>
        <w:rFonts w:ascii="Verdana" w:eastAsia="Verdana" w:hAnsi="Verdana" w:cs="Verdana"/>
        <w:position w:val="4"/>
        <w:sz w:val="24"/>
        <w:szCs w:val="24"/>
        <w:rtl w:val="0"/>
      </w:rPr>
    </w:lvl>
    <w:lvl w:ilvl="7">
      <w:start w:val="1"/>
      <w:numFmt w:val="bullet"/>
      <w:lvlText w:val="-"/>
      <w:lvlJc w:val="left"/>
      <w:pPr>
        <w:tabs>
          <w:tab w:val="num" w:pos="1898"/>
        </w:tabs>
        <w:ind w:left="1898" w:hanging="218"/>
      </w:pPr>
      <w:rPr>
        <w:rFonts w:ascii="Verdana" w:eastAsia="Verdana" w:hAnsi="Verdana" w:cs="Verdana"/>
        <w:position w:val="4"/>
        <w:sz w:val="24"/>
        <w:szCs w:val="24"/>
        <w:rtl w:val="0"/>
      </w:rPr>
    </w:lvl>
    <w:lvl w:ilvl="8">
      <w:start w:val="1"/>
      <w:numFmt w:val="bullet"/>
      <w:lvlText w:val="-"/>
      <w:lvlJc w:val="left"/>
      <w:pPr>
        <w:tabs>
          <w:tab w:val="num" w:pos="2138"/>
        </w:tabs>
        <w:ind w:left="2138" w:hanging="218"/>
      </w:pPr>
      <w:rPr>
        <w:rFonts w:ascii="Verdana" w:eastAsia="Verdana" w:hAnsi="Verdana" w:cs="Verdana"/>
        <w:position w:val="4"/>
        <w:sz w:val="24"/>
        <w:szCs w:val="24"/>
        <w:rtl w:val="0"/>
      </w:rPr>
    </w:lvl>
  </w:abstractNum>
  <w:abstractNum w:abstractNumId="46" w15:restartNumberingAfterBreak="0">
    <w:nsid w:val="761A1D05"/>
    <w:multiLevelType w:val="multilevel"/>
    <w:tmpl w:val="1A0C9950"/>
    <w:lvl w:ilvl="0">
      <w:numFmt w:val="bullet"/>
      <w:lvlText w:val="-"/>
      <w:lvlJc w:val="left"/>
      <w:pPr>
        <w:tabs>
          <w:tab w:val="num" w:pos="994"/>
        </w:tabs>
        <w:ind w:left="994" w:hanging="640"/>
      </w:pPr>
      <w:rPr>
        <w:rFonts w:ascii="Verdana" w:eastAsia="Verdana" w:hAnsi="Verdana" w:cs="Verdana"/>
        <w:position w:val="0"/>
        <w:sz w:val="24"/>
        <w:szCs w:val="24"/>
      </w:rPr>
    </w:lvl>
    <w:lvl w:ilvl="1">
      <w:start w:val="1"/>
      <w:numFmt w:val="bullet"/>
      <w:lvlText w:val="o"/>
      <w:lvlJc w:val="left"/>
      <w:pPr>
        <w:tabs>
          <w:tab w:val="num" w:pos="1374"/>
        </w:tabs>
        <w:ind w:left="1374" w:hanging="300"/>
      </w:pPr>
      <w:rPr>
        <w:rFonts w:ascii="Verdana" w:eastAsia="Verdana" w:hAnsi="Verdana" w:cs="Verdana"/>
        <w:position w:val="0"/>
        <w:sz w:val="20"/>
        <w:szCs w:val="20"/>
      </w:rPr>
    </w:lvl>
    <w:lvl w:ilvl="2">
      <w:start w:val="1"/>
      <w:numFmt w:val="bullet"/>
      <w:lvlText w:val="▪"/>
      <w:lvlJc w:val="left"/>
      <w:pPr>
        <w:tabs>
          <w:tab w:val="num" w:pos="2094"/>
        </w:tabs>
        <w:ind w:left="2094" w:hanging="300"/>
      </w:pPr>
      <w:rPr>
        <w:rFonts w:ascii="Verdana" w:eastAsia="Verdana" w:hAnsi="Verdana" w:cs="Verdana"/>
        <w:position w:val="0"/>
        <w:sz w:val="20"/>
        <w:szCs w:val="20"/>
      </w:rPr>
    </w:lvl>
    <w:lvl w:ilvl="3">
      <w:start w:val="1"/>
      <w:numFmt w:val="bullet"/>
      <w:lvlText w:val="•"/>
      <w:lvlJc w:val="left"/>
      <w:pPr>
        <w:tabs>
          <w:tab w:val="num" w:pos="2814"/>
        </w:tabs>
        <w:ind w:left="2814" w:hanging="300"/>
      </w:pPr>
      <w:rPr>
        <w:rFonts w:ascii="Verdana" w:eastAsia="Verdana" w:hAnsi="Verdana" w:cs="Verdana"/>
        <w:position w:val="0"/>
        <w:sz w:val="20"/>
        <w:szCs w:val="20"/>
      </w:rPr>
    </w:lvl>
    <w:lvl w:ilvl="4">
      <w:start w:val="1"/>
      <w:numFmt w:val="bullet"/>
      <w:lvlText w:val="o"/>
      <w:lvlJc w:val="left"/>
      <w:pPr>
        <w:tabs>
          <w:tab w:val="num" w:pos="3534"/>
        </w:tabs>
        <w:ind w:left="3534" w:hanging="300"/>
      </w:pPr>
      <w:rPr>
        <w:rFonts w:ascii="Verdana" w:eastAsia="Verdana" w:hAnsi="Verdana" w:cs="Verdana"/>
        <w:position w:val="0"/>
        <w:sz w:val="20"/>
        <w:szCs w:val="20"/>
      </w:rPr>
    </w:lvl>
    <w:lvl w:ilvl="5">
      <w:start w:val="1"/>
      <w:numFmt w:val="bullet"/>
      <w:lvlText w:val="▪"/>
      <w:lvlJc w:val="left"/>
      <w:pPr>
        <w:tabs>
          <w:tab w:val="num" w:pos="4254"/>
        </w:tabs>
        <w:ind w:left="4254" w:hanging="300"/>
      </w:pPr>
      <w:rPr>
        <w:rFonts w:ascii="Verdana" w:eastAsia="Verdana" w:hAnsi="Verdana" w:cs="Verdana"/>
        <w:position w:val="0"/>
        <w:sz w:val="20"/>
        <w:szCs w:val="20"/>
      </w:rPr>
    </w:lvl>
    <w:lvl w:ilvl="6">
      <w:start w:val="1"/>
      <w:numFmt w:val="bullet"/>
      <w:lvlText w:val="•"/>
      <w:lvlJc w:val="left"/>
      <w:pPr>
        <w:tabs>
          <w:tab w:val="num" w:pos="4974"/>
        </w:tabs>
        <w:ind w:left="4974" w:hanging="300"/>
      </w:pPr>
      <w:rPr>
        <w:rFonts w:ascii="Verdana" w:eastAsia="Verdana" w:hAnsi="Verdana" w:cs="Verdana"/>
        <w:position w:val="0"/>
        <w:sz w:val="20"/>
        <w:szCs w:val="20"/>
      </w:rPr>
    </w:lvl>
    <w:lvl w:ilvl="7">
      <w:start w:val="1"/>
      <w:numFmt w:val="bullet"/>
      <w:lvlText w:val="o"/>
      <w:lvlJc w:val="left"/>
      <w:pPr>
        <w:tabs>
          <w:tab w:val="num" w:pos="5694"/>
        </w:tabs>
        <w:ind w:left="5694" w:hanging="300"/>
      </w:pPr>
      <w:rPr>
        <w:rFonts w:ascii="Verdana" w:eastAsia="Verdana" w:hAnsi="Verdana" w:cs="Verdana"/>
        <w:position w:val="0"/>
        <w:sz w:val="20"/>
        <w:szCs w:val="20"/>
      </w:rPr>
    </w:lvl>
    <w:lvl w:ilvl="8">
      <w:start w:val="1"/>
      <w:numFmt w:val="bullet"/>
      <w:lvlText w:val="▪"/>
      <w:lvlJc w:val="left"/>
      <w:pPr>
        <w:tabs>
          <w:tab w:val="num" w:pos="6414"/>
        </w:tabs>
        <w:ind w:left="6414" w:hanging="300"/>
      </w:pPr>
      <w:rPr>
        <w:rFonts w:ascii="Verdana" w:eastAsia="Verdana" w:hAnsi="Verdana" w:cs="Verdana"/>
        <w:position w:val="0"/>
        <w:sz w:val="20"/>
        <w:szCs w:val="20"/>
      </w:rPr>
    </w:lvl>
  </w:abstractNum>
  <w:abstractNum w:abstractNumId="47" w15:restartNumberingAfterBreak="0">
    <w:nsid w:val="7B2B64EE"/>
    <w:multiLevelType w:val="multilevel"/>
    <w:tmpl w:val="9770316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43"/>
  </w:num>
  <w:num w:numId="2">
    <w:abstractNumId w:val="9"/>
  </w:num>
  <w:num w:numId="3">
    <w:abstractNumId w:val="1"/>
  </w:num>
  <w:num w:numId="4">
    <w:abstractNumId w:val="40"/>
  </w:num>
  <w:num w:numId="5">
    <w:abstractNumId w:val="44"/>
  </w:num>
  <w:num w:numId="6">
    <w:abstractNumId w:val="45"/>
  </w:num>
  <w:num w:numId="7">
    <w:abstractNumId w:val="18"/>
  </w:num>
  <w:num w:numId="8">
    <w:abstractNumId w:val="8"/>
  </w:num>
  <w:num w:numId="9">
    <w:abstractNumId w:val="12"/>
  </w:num>
  <w:num w:numId="10">
    <w:abstractNumId w:val="23"/>
  </w:num>
  <w:num w:numId="11">
    <w:abstractNumId w:val="22"/>
  </w:num>
  <w:num w:numId="12">
    <w:abstractNumId w:val="33"/>
  </w:num>
  <w:num w:numId="13">
    <w:abstractNumId w:val="25"/>
  </w:num>
  <w:num w:numId="14">
    <w:abstractNumId w:val="41"/>
  </w:num>
  <w:num w:numId="15">
    <w:abstractNumId w:val="16"/>
  </w:num>
  <w:num w:numId="16">
    <w:abstractNumId w:val="30"/>
  </w:num>
  <w:num w:numId="17">
    <w:abstractNumId w:val="46"/>
  </w:num>
  <w:num w:numId="18">
    <w:abstractNumId w:val="3"/>
  </w:num>
  <w:num w:numId="19">
    <w:abstractNumId w:val="36"/>
  </w:num>
  <w:num w:numId="20">
    <w:abstractNumId w:val="13"/>
  </w:num>
  <w:num w:numId="21">
    <w:abstractNumId w:val="19"/>
  </w:num>
  <w:num w:numId="22">
    <w:abstractNumId w:val="47"/>
  </w:num>
  <w:num w:numId="23">
    <w:abstractNumId w:val="29"/>
  </w:num>
  <w:num w:numId="24">
    <w:abstractNumId w:val="26"/>
  </w:num>
  <w:num w:numId="25">
    <w:abstractNumId w:val="28"/>
  </w:num>
  <w:num w:numId="26">
    <w:abstractNumId w:val="5"/>
  </w:num>
  <w:num w:numId="27">
    <w:abstractNumId w:val="7"/>
  </w:num>
  <w:num w:numId="28">
    <w:abstractNumId w:val="34"/>
  </w:num>
  <w:num w:numId="29">
    <w:abstractNumId w:val="39"/>
  </w:num>
  <w:num w:numId="30">
    <w:abstractNumId w:val="6"/>
  </w:num>
  <w:num w:numId="31">
    <w:abstractNumId w:val="20"/>
  </w:num>
  <w:num w:numId="32">
    <w:abstractNumId w:val="21"/>
  </w:num>
  <w:num w:numId="33">
    <w:abstractNumId w:val="31"/>
  </w:num>
  <w:num w:numId="34">
    <w:abstractNumId w:val="42"/>
  </w:num>
  <w:num w:numId="35">
    <w:abstractNumId w:val="27"/>
  </w:num>
  <w:num w:numId="36">
    <w:abstractNumId w:val="11"/>
  </w:num>
  <w:num w:numId="37">
    <w:abstractNumId w:val="0"/>
  </w:num>
  <w:num w:numId="38">
    <w:abstractNumId w:val="32"/>
  </w:num>
  <w:num w:numId="39">
    <w:abstractNumId w:val="24"/>
  </w:num>
  <w:num w:numId="40">
    <w:abstractNumId w:val="17"/>
  </w:num>
  <w:num w:numId="41">
    <w:abstractNumId w:val="38"/>
  </w:num>
  <w:num w:numId="42">
    <w:abstractNumId w:val="2"/>
  </w:num>
  <w:num w:numId="43">
    <w:abstractNumId w:val="14"/>
  </w:num>
  <w:num w:numId="44">
    <w:abstractNumId w:val="10"/>
  </w:num>
  <w:num w:numId="45">
    <w:abstractNumId w:val="37"/>
  </w:num>
  <w:num w:numId="46">
    <w:abstractNumId w:val="35"/>
  </w:num>
  <w:num w:numId="47">
    <w:abstractNumId w:val="1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B8"/>
    <w:rsid w:val="000006EF"/>
    <w:rsid w:val="00001ABE"/>
    <w:rsid w:val="00002EB3"/>
    <w:rsid w:val="00003352"/>
    <w:rsid w:val="000034A6"/>
    <w:rsid w:val="00003D32"/>
    <w:rsid w:val="0000456B"/>
    <w:rsid w:val="00006FD2"/>
    <w:rsid w:val="00010A04"/>
    <w:rsid w:val="00011D1D"/>
    <w:rsid w:val="00011D38"/>
    <w:rsid w:val="00012095"/>
    <w:rsid w:val="000126E5"/>
    <w:rsid w:val="00013877"/>
    <w:rsid w:val="00013BF8"/>
    <w:rsid w:val="000146EF"/>
    <w:rsid w:val="0001598A"/>
    <w:rsid w:val="00015EE4"/>
    <w:rsid w:val="00016249"/>
    <w:rsid w:val="000163D5"/>
    <w:rsid w:val="00017CB3"/>
    <w:rsid w:val="00017F60"/>
    <w:rsid w:val="00020F4F"/>
    <w:rsid w:val="000218CF"/>
    <w:rsid w:val="00021BD7"/>
    <w:rsid w:val="00022FFE"/>
    <w:rsid w:val="00023BBD"/>
    <w:rsid w:val="00023C7F"/>
    <w:rsid w:val="00024AF9"/>
    <w:rsid w:val="000272B8"/>
    <w:rsid w:val="00031867"/>
    <w:rsid w:val="00031A48"/>
    <w:rsid w:val="00034E25"/>
    <w:rsid w:val="000356F0"/>
    <w:rsid w:val="00035938"/>
    <w:rsid w:val="0003625A"/>
    <w:rsid w:val="00037586"/>
    <w:rsid w:val="000400F2"/>
    <w:rsid w:val="0004024B"/>
    <w:rsid w:val="0004073E"/>
    <w:rsid w:val="00040F9B"/>
    <w:rsid w:val="00041855"/>
    <w:rsid w:val="0004263D"/>
    <w:rsid w:val="0004276D"/>
    <w:rsid w:val="00043888"/>
    <w:rsid w:val="00044271"/>
    <w:rsid w:val="00044317"/>
    <w:rsid w:val="00045EF6"/>
    <w:rsid w:val="00051DD3"/>
    <w:rsid w:val="00054F6F"/>
    <w:rsid w:val="000554D8"/>
    <w:rsid w:val="00056BCD"/>
    <w:rsid w:val="00057281"/>
    <w:rsid w:val="00057652"/>
    <w:rsid w:val="00060243"/>
    <w:rsid w:val="00060689"/>
    <w:rsid w:val="000614C2"/>
    <w:rsid w:val="0006181D"/>
    <w:rsid w:val="00064FE1"/>
    <w:rsid w:val="0006784A"/>
    <w:rsid w:val="00067AAA"/>
    <w:rsid w:val="00071051"/>
    <w:rsid w:val="00071157"/>
    <w:rsid w:val="00071A23"/>
    <w:rsid w:val="000722F5"/>
    <w:rsid w:val="00072B0D"/>
    <w:rsid w:val="0007543C"/>
    <w:rsid w:val="00075AF5"/>
    <w:rsid w:val="0008042E"/>
    <w:rsid w:val="0008141B"/>
    <w:rsid w:val="000815F1"/>
    <w:rsid w:val="00083482"/>
    <w:rsid w:val="00083FC7"/>
    <w:rsid w:val="00084F39"/>
    <w:rsid w:val="0009062F"/>
    <w:rsid w:val="000908BD"/>
    <w:rsid w:val="00093B93"/>
    <w:rsid w:val="0009442F"/>
    <w:rsid w:val="0009604E"/>
    <w:rsid w:val="00097367"/>
    <w:rsid w:val="000A0DEC"/>
    <w:rsid w:val="000A251B"/>
    <w:rsid w:val="000A2E62"/>
    <w:rsid w:val="000B182F"/>
    <w:rsid w:val="000B1B65"/>
    <w:rsid w:val="000B1FFC"/>
    <w:rsid w:val="000B5090"/>
    <w:rsid w:val="000B50C3"/>
    <w:rsid w:val="000B64D9"/>
    <w:rsid w:val="000C1359"/>
    <w:rsid w:val="000C3556"/>
    <w:rsid w:val="000C383D"/>
    <w:rsid w:val="000C6B0D"/>
    <w:rsid w:val="000C73B4"/>
    <w:rsid w:val="000C7DC8"/>
    <w:rsid w:val="000D00CF"/>
    <w:rsid w:val="000D0B16"/>
    <w:rsid w:val="000D10B5"/>
    <w:rsid w:val="000D11DC"/>
    <w:rsid w:val="000D14E0"/>
    <w:rsid w:val="000D242F"/>
    <w:rsid w:val="000D2650"/>
    <w:rsid w:val="000D2949"/>
    <w:rsid w:val="000D37B0"/>
    <w:rsid w:val="000D3898"/>
    <w:rsid w:val="000E1366"/>
    <w:rsid w:val="000E16B7"/>
    <w:rsid w:val="000E34ED"/>
    <w:rsid w:val="000E3546"/>
    <w:rsid w:val="000E35FF"/>
    <w:rsid w:val="000E4E54"/>
    <w:rsid w:val="000E7B11"/>
    <w:rsid w:val="000E7E34"/>
    <w:rsid w:val="000E7E68"/>
    <w:rsid w:val="000E7F3D"/>
    <w:rsid w:val="000F1B94"/>
    <w:rsid w:val="000F2F92"/>
    <w:rsid w:val="000F3D1D"/>
    <w:rsid w:val="000F4C7F"/>
    <w:rsid w:val="000F504C"/>
    <w:rsid w:val="00101B68"/>
    <w:rsid w:val="00101CCD"/>
    <w:rsid w:val="00102E4C"/>
    <w:rsid w:val="001030ED"/>
    <w:rsid w:val="00106A06"/>
    <w:rsid w:val="00111D1A"/>
    <w:rsid w:val="001128AB"/>
    <w:rsid w:val="00112DDB"/>
    <w:rsid w:val="00115F04"/>
    <w:rsid w:val="001160ED"/>
    <w:rsid w:val="001160F0"/>
    <w:rsid w:val="00120600"/>
    <w:rsid w:val="001312BD"/>
    <w:rsid w:val="0013291B"/>
    <w:rsid w:val="00132FE6"/>
    <w:rsid w:val="00134801"/>
    <w:rsid w:val="00134D69"/>
    <w:rsid w:val="0013538A"/>
    <w:rsid w:val="00135B66"/>
    <w:rsid w:val="00136825"/>
    <w:rsid w:val="00140ECE"/>
    <w:rsid w:val="001431BA"/>
    <w:rsid w:val="00144A9E"/>
    <w:rsid w:val="00147941"/>
    <w:rsid w:val="0015269F"/>
    <w:rsid w:val="00155106"/>
    <w:rsid w:val="00155432"/>
    <w:rsid w:val="00156A0D"/>
    <w:rsid w:val="00160D30"/>
    <w:rsid w:val="00161F9C"/>
    <w:rsid w:val="00162858"/>
    <w:rsid w:val="00163864"/>
    <w:rsid w:val="00164A1E"/>
    <w:rsid w:val="001658C9"/>
    <w:rsid w:val="0016606A"/>
    <w:rsid w:val="00167B7D"/>
    <w:rsid w:val="00170690"/>
    <w:rsid w:val="00171ADE"/>
    <w:rsid w:val="00172782"/>
    <w:rsid w:val="00173071"/>
    <w:rsid w:val="001748CD"/>
    <w:rsid w:val="00175173"/>
    <w:rsid w:val="00175470"/>
    <w:rsid w:val="001777EA"/>
    <w:rsid w:val="00180351"/>
    <w:rsid w:val="00180BA5"/>
    <w:rsid w:val="0018113E"/>
    <w:rsid w:val="00181650"/>
    <w:rsid w:val="00182EE1"/>
    <w:rsid w:val="0018303E"/>
    <w:rsid w:val="0018324C"/>
    <w:rsid w:val="00183421"/>
    <w:rsid w:val="001835F9"/>
    <w:rsid w:val="00185C9C"/>
    <w:rsid w:val="001865D9"/>
    <w:rsid w:val="0018664C"/>
    <w:rsid w:val="001875A2"/>
    <w:rsid w:val="00187EC5"/>
    <w:rsid w:val="00190094"/>
    <w:rsid w:val="00190216"/>
    <w:rsid w:val="001905A5"/>
    <w:rsid w:val="0019133D"/>
    <w:rsid w:val="001916A0"/>
    <w:rsid w:val="00191A7D"/>
    <w:rsid w:val="001954DC"/>
    <w:rsid w:val="00195A03"/>
    <w:rsid w:val="00195C6F"/>
    <w:rsid w:val="00197333"/>
    <w:rsid w:val="00197C71"/>
    <w:rsid w:val="001A030C"/>
    <w:rsid w:val="001A07C9"/>
    <w:rsid w:val="001A2E2B"/>
    <w:rsid w:val="001A326B"/>
    <w:rsid w:val="001A3FF2"/>
    <w:rsid w:val="001A4068"/>
    <w:rsid w:val="001A500A"/>
    <w:rsid w:val="001A53C7"/>
    <w:rsid w:val="001A7017"/>
    <w:rsid w:val="001A7295"/>
    <w:rsid w:val="001A7554"/>
    <w:rsid w:val="001A7601"/>
    <w:rsid w:val="001A7C46"/>
    <w:rsid w:val="001B5449"/>
    <w:rsid w:val="001B5498"/>
    <w:rsid w:val="001C0BBE"/>
    <w:rsid w:val="001C1E72"/>
    <w:rsid w:val="001C2C4D"/>
    <w:rsid w:val="001C3F3B"/>
    <w:rsid w:val="001C45BC"/>
    <w:rsid w:val="001C4F66"/>
    <w:rsid w:val="001C5153"/>
    <w:rsid w:val="001C5E6E"/>
    <w:rsid w:val="001D08F3"/>
    <w:rsid w:val="001D0933"/>
    <w:rsid w:val="001D0C1E"/>
    <w:rsid w:val="001D1930"/>
    <w:rsid w:val="001D1CE8"/>
    <w:rsid w:val="001D2A37"/>
    <w:rsid w:val="001D3194"/>
    <w:rsid w:val="001D58DB"/>
    <w:rsid w:val="001D6685"/>
    <w:rsid w:val="001D6A21"/>
    <w:rsid w:val="001D6BC6"/>
    <w:rsid w:val="001D743E"/>
    <w:rsid w:val="001E00E6"/>
    <w:rsid w:val="001E05B0"/>
    <w:rsid w:val="001E0920"/>
    <w:rsid w:val="001E197B"/>
    <w:rsid w:val="001E25D3"/>
    <w:rsid w:val="001E26B5"/>
    <w:rsid w:val="001E2720"/>
    <w:rsid w:val="001E28DC"/>
    <w:rsid w:val="001E3051"/>
    <w:rsid w:val="001E5FF0"/>
    <w:rsid w:val="001E63A3"/>
    <w:rsid w:val="001F06EE"/>
    <w:rsid w:val="001F08B3"/>
    <w:rsid w:val="001F08BF"/>
    <w:rsid w:val="001F0FA8"/>
    <w:rsid w:val="001F189D"/>
    <w:rsid w:val="001F2027"/>
    <w:rsid w:val="001F705A"/>
    <w:rsid w:val="001F71F3"/>
    <w:rsid w:val="001F75EA"/>
    <w:rsid w:val="001F7F04"/>
    <w:rsid w:val="00200262"/>
    <w:rsid w:val="00200B29"/>
    <w:rsid w:val="00200CAD"/>
    <w:rsid w:val="00201B82"/>
    <w:rsid w:val="00202886"/>
    <w:rsid w:val="00203E7F"/>
    <w:rsid w:val="00204049"/>
    <w:rsid w:val="00205305"/>
    <w:rsid w:val="0020679B"/>
    <w:rsid w:val="00206B29"/>
    <w:rsid w:val="00211A9A"/>
    <w:rsid w:val="00212C43"/>
    <w:rsid w:val="002152F3"/>
    <w:rsid w:val="00217059"/>
    <w:rsid w:val="00220C78"/>
    <w:rsid w:val="00221F1C"/>
    <w:rsid w:val="0022250A"/>
    <w:rsid w:val="00222F63"/>
    <w:rsid w:val="00224256"/>
    <w:rsid w:val="0022550B"/>
    <w:rsid w:val="00230554"/>
    <w:rsid w:val="002313CC"/>
    <w:rsid w:val="00233742"/>
    <w:rsid w:val="00233750"/>
    <w:rsid w:val="0023517D"/>
    <w:rsid w:val="0023656B"/>
    <w:rsid w:val="002372D4"/>
    <w:rsid w:val="002378AE"/>
    <w:rsid w:val="00243529"/>
    <w:rsid w:val="00250A92"/>
    <w:rsid w:val="00250B44"/>
    <w:rsid w:val="00253979"/>
    <w:rsid w:val="002547DD"/>
    <w:rsid w:val="00255616"/>
    <w:rsid w:val="00256810"/>
    <w:rsid w:val="00256B28"/>
    <w:rsid w:val="00256CE4"/>
    <w:rsid w:val="0026027B"/>
    <w:rsid w:val="0026187B"/>
    <w:rsid w:val="00261A8D"/>
    <w:rsid w:val="00261B59"/>
    <w:rsid w:val="00263CA5"/>
    <w:rsid w:val="00264DCB"/>
    <w:rsid w:val="00266850"/>
    <w:rsid w:val="0026771E"/>
    <w:rsid w:val="00267C5E"/>
    <w:rsid w:val="00270470"/>
    <w:rsid w:val="002711B6"/>
    <w:rsid w:val="00271EDC"/>
    <w:rsid w:val="002729E0"/>
    <w:rsid w:val="00280104"/>
    <w:rsid w:val="0028037A"/>
    <w:rsid w:val="002806D9"/>
    <w:rsid w:val="00280B35"/>
    <w:rsid w:val="002810DC"/>
    <w:rsid w:val="0028166F"/>
    <w:rsid w:val="00284F8A"/>
    <w:rsid w:val="002852F3"/>
    <w:rsid w:val="0028535D"/>
    <w:rsid w:val="00286EF2"/>
    <w:rsid w:val="00287723"/>
    <w:rsid w:val="00291B95"/>
    <w:rsid w:val="00292DEB"/>
    <w:rsid w:val="002936B3"/>
    <w:rsid w:val="002936DE"/>
    <w:rsid w:val="00294309"/>
    <w:rsid w:val="002949D9"/>
    <w:rsid w:val="002954CD"/>
    <w:rsid w:val="00296094"/>
    <w:rsid w:val="00297C32"/>
    <w:rsid w:val="002A093F"/>
    <w:rsid w:val="002A4507"/>
    <w:rsid w:val="002A4D5D"/>
    <w:rsid w:val="002A54FA"/>
    <w:rsid w:val="002A5BD8"/>
    <w:rsid w:val="002A5E6C"/>
    <w:rsid w:val="002A7D2B"/>
    <w:rsid w:val="002A7F86"/>
    <w:rsid w:val="002B243F"/>
    <w:rsid w:val="002B615C"/>
    <w:rsid w:val="002B6284"/>
    <w:rsid w:val="002C0A98"/>
    <w:rsid w:val="002C16F8"/>
    <w:rsid w:val="002C3700"/>
    <w:rsid w:val="002C6873"/>
    <w:rsid w:val="002C73BA"/>
    <w:rsid w:val="002D0DDD"/>
    <w:rsid w:val="002D1007"/>
    <w:rsid w:val="002D1195"/>
    <w:rsid w:val="002D37F7"/>
    <w:rsid w:val="002D44B5"/>
    <w:rsid w:val="002D4BE5"/>
    <w:rsid w:val="002D535C"/>
    <w:rsid w:val="002D743D"/>
    <w:rsid w:val="002D74DA"/>
    <w:rsid w:val="002E28FA"/>
    <w:rsid w:val="002E379D"/>
    <w:rsid w:val="002E4EDF"/>
    <w:rsid w:val="002E5849"/>
    <w:rsid w:val="002E78C4"/>
    <w:rsid w:val="002E78CC"/>
    <w:rsid w:val="002F129A"/>
    <w:rsid w:val="002F58D2"/>
    <w:rsid w:val="002F59AC"/>
    <w:rsid w:val="003002E8"/>
    <w:rsid w:val="00300769"/>
    <w:rsid w:val="00300A8D"/>
    <w:rsid w:val="00301462"/>
    <w:rsid w:val="003020BA"/>
    <w:rsid w:val="0030293C"/>
    <w:rsid w:val="003033AD"/>
    <w:rsid w:val="00303741"/>
    <w:rsid w:val="00303DBA"/>
    <w:rsid w:val="003042BA"/>
    <w:rsid w:val="0030523E"/>
    <w:rsid w:val="0030540C"/>
    <w:rsid w:val="003058BC"/>
    <w:rsid w:val="00310FB1"/>
    <w:rsid w:val="0031163B"/>
    <w:rsid w:val="00313936"/>
    <w:rsid w:val="00313D33"/>
    <w:rsid w:val="0031535B"/>
    <w:rsid w:val="003201F0"/>
    <w:rsid w:val="003262D5"/>
    <w:rsid w:val="00327319"/>
    <w:rsid w:val="00327BDC"/>
    <w:rsid w:val="00330A28"/>
    <w:rsid w:val="00331CF4"/>
    <w:rsid w:val="00333013"/>
    <w:rsid w:val="0033312E"/>
    <w:rsid w:val="0033719C"/>
    <w:rsid w:val="00343C42"/>
    <w:rsid w:val="003442FC"/>
    <w:rsid w:val="00344B95"/>
    <w:rsid w:val="00345C24"/>
    <w:rsid w:val="00346EFB"/>
    <w:rsid w:val="00350F45"/>
    <w:rsid w:val="0035525E"/>
    <w:rsid w:val="003554F4"/>
    <w:rsid w:val="00355526"/>
    <w:rsid w:val="0035553D"/>
    <w:rsid w:val="003568C1"/>
    <w:rsid w:val="00360128"/>
    <w:rsid w:val="003604AC"/>
    <w:rsid w:val="0036199B"/>
    <w:rsid w:val="003643BB"/>
    <w:rsid w:val="00364588"/>
    <w:rsid w:val="00364A9C"/>
    <w:rsid w:val="00364D9E"/>
    <w:rsid w:val="00364E4E"/>
    <w:rsid w:val="00365226"/>
    <w:rsid w:val="00365C5C"/>
    <w:rsid w:val="00366A19"/>
    <w:rsid w:val="003670D0"/>
    <w:rsid w:val="003702C2"/>
    <w:rsid w:val="00370F82"/>
    <w:rsid w:val="00371432"/>
    <w:rsid w:val="00372591"/>
    <w:rsid w:val="00375FAB"/>
    <w:rsid w:val="00377220"/>
    <w:rsid w:val="003774B1"/>
    <w:rsid w:val="00377A99"/>
    <w:rsid w:val="003807BC"/>
    <w:rsid w:val="003818BC"/>
    <w:rsid w:val="003820BA"/>
    <w:rsid w:val="00382100"/>
    <w:rsid w:val="00384F25"/>
    <w:rsid w:val="00385475"/>
    <w:rsid w:val="0038638D"/>
    <w:rsid w:val="003867B1"/>
    <w:rsid w:val="00386963"/>
    <w:rsid w:val="00387D8D"/>
    <w:rsid w:val="0039068C"/>
    <w:rsid w:val="00391136"/>
    <w:rsid w:val="00391A5C"/>
    <w:rsid w:val="00391BF6"/>
    <w:rsid w:val="00395A13"/>
    <w:rsid w:val="00395F6B"/>
    <w:rsid w:val="00397C8A"/>
    <w:rsid w:val="003A0777"/>
    <w:rsid w:val="003A0FCB"/>
    <w:rsid w:val="003A1D56"/>
    <w:rsid w:val="003A1DF8"/>
    <w:rsid w:val="003A6054"/>
    <w:rsid w:val="003B02D9"/>
    <w:rsid w:val="003B031A"/>
    <w:rsid w:val="003B1897"/>
    <w:rsid w:val="003B4079"/>
    <w:rsid w:val="003B6E08"/>
    <w:rsid w:val="003B748A"/>
    <w:rsid w:val="003C049A"/>
    <w:rsid w:val="003C1B3E"/>
    <w:rsid w:val="003C242E"/>
    <w:rsid w:val="003C33EA"/>
    <w:rsid w:val="003C36A9"/>
    <w:rsid w:val="003C41E6"/>
    <w:rsid w:val="003C51EC"/>
    <w:rsid w:val="003C56E9"/>
    <w:rsid w:val="003C619C"/>
    <w:rsid w:val="003C680E"/>
    <w:rsid w:val="003D0D43"/>
    <w:rsid w:val="003D179E"/>
    <w:rsid w:val="003D3268"/>
    <w:rsid w:val="003D391B"/>
    <w:rsid w:val="003D4CB5"/>
    <w:rsid w:val="003D588A"/>
    <w:rsid w:val="003D5D65"/>
    <w:rsid w:val="003E0DE4"/>
    <w:rsid w:val="003E214C"/>
    <w:rsid w:val="003E42BE"/>
    <w:rsid w:val="003E54D9"/>
    <w:rsid w:val="003E6441"/>
    <w:rsid w:val="003E653E"/>
    <w:rsid w:val="003E6F0F"/>
    <w:rsid w:val="003E6F62"/>
    <w:rsid w:val="003E7197"/>
    <w:rsid w:val="003F0ECC"/>
    <w:rsid w:val="003F133A"/>
    <w:rsid w:val="003F31B5"/>
    <w:rsid w:val="003F345A"/>
    <w:rsid w:val="003F4140"/>
    <w:rsid w:val="003F439A"/>
    <w:rsid w:val="003F45F3"/>
    <w:rsid w:val="003F4A0D"/>
    <w:rsid w:val="003F4A5E"/>
    <w:rsid w:val="003F5E68"/>
    <w:rsid w:val="003F6362"/>
    <w:rsid w:val="003F68F5"/>
    <w:rsid w:val="003F729F"/>
    <w:rsid w:val="00401DA0"/>
    <w:rsid w:val="00402571"/>
    <w:rsid w:val="00402694"/>
    <w:rsid w:val="00403F43"/>
    <w:rsid w:val="00407D82"/>
    <w:rsid w:val="00410067"/>
    <w:rsid w:val="0041270D"/>
    <w:rsid w:val="004127B5"/>
    <w:rsid w:val="00413E97"/>
    <w:rsid w:val="004146C2"/>
    <w:rsid w:val="0041531C"/>
    <w:rsid w:val="00416659"/>
    <w:rsid w:val="00417769"/>
    <w:rsid w:val="00417A2F"/>
    <w:rsid w:val="00420BF0"/>
    <w:rsid w:val="00421A3C"/>
    <w:rsid w:val="00421E67"/>
    <w:rsid w:val="00421EEE"/>
    <w:rsid w:val="004238A7"/>
    <w:rsid w:val="00424377"/>
    <w:rsid w:val="004272F1"/>
    <w:rsid w:val="00427F07"/>
    <w:rsid w:val="00430A67"/>
    <w:rsid w:val="004315F4"/>
    <w:rsid w:val="00432EEB"/>
    <w:rsid w:val="00433855"/>
    <w:rsid w:val="00435C5C"/>
    <w:rsid w:val="00440000"/>
    <w:rsid w:val="00440898"/>
    <w:rsid w:val="004425AA"/>
    <w:rsid w:val="00442623"/>
    <w:rsid w:val="004434D2"/>
    <w:rsid w:val="00443AD9"/>
    <w:rsid w:val="004443D1"/>
    <w:rsid w:val="0044621B"/>
    <w:rsid w:val="00447B55"/>
    <w:rsid w:val="00452535"/>
    <w:rsid w:val="004533CF"/>
    <w:rsid w:val="0045681C"/>
    <w:rsid w:val="00457196"/>
    <w:rsid w:val="00461803"/>
    <w:rsid w:val="0046260A"/>
    <w:rsid w:val="004629AC"/>
    <w:rsid w:val="004644CE"/>
    <w:rsid w:val="0046536A"/>
    <w:rsid w:val="004654C2"/>
    <w:rsid w:val="004657BE"/>
    <w:rsid w:val="00466AC3"/>
    <w:rsid w:val="00467B90"/>
    <w:rsid w:val="00467DB7"/>
    <w:rsid w:val="004708CB"/>
    <w:rsid w:val="004715EE"/>
    <w:rsid w:val="00471F89"/>
    <w:rsid w:val="00472B0B"/>
    <w:rsid w:val="00474ECE"/>
    <w:rsid w:val="004753CD"/>
    <w:rsid w:val="00480154"/>
    <w:rsid w:val="004803DE"/>
    <w:rsid w:val="004806E6"/>
    <w:rsid w:val="00481DEF"/>
    <w:rsid w:val="0048262C"/>
    <w:rsid w:val="00482C6F"/>
    <w:rsid w:val="00484C2D"/>
    <w:rsid w:val="00487279"/>
    <w:rsid w:val="00490ADC"/>
    <w:rsid w:val="00494823"/>
    <w:rsid w:val="00494925"/>
    <w:rsid w:val="00495DEB"/>
    <w:rsid w:val="00496B1D"/>
    <w:rsid w:val="00496B9B"/>
    <w:rsid w:val="00497397"/>
    <w:rsid w:val="00497780"/>
    <w:rsid w:val="004A1D47"/>
    <w:rsid w:val="004A249D"/>
    <w:rsid w:val="004A5A25"/>
    <w:rsid w:val="004B08B6"/>
    <w:rsid w:val="004B2DF8"/>
    <w:rsid w:val="004B4620"/>
    <w:rsid w:val="004B5CC6"/>
    <w:rsid w:val="004B72EB"/>
    <w:rsid w:val="004B7951"/>
    <w:rsid w:val="004B7E30"/>
    <w:rsid w:val="004C00E4"/>
    <w:rsid w:val="004C112C"/>
    <w:rsid w:val="004C349F"/>
    <w:rsid w:val="004C3C11"/>
    <w:rsid w:val="004C41F8"/>
    <w:rsid w:val="004C5043"/>
    <w:rsid w:val="004C5130"/>
    <w:rsid w:val="004C5F06"/>
    <w:rsid w:val="004C6501"/>
    <w:rsid w:val="004C6863"/>
    <w:rsid w:val="004C78C2"/>
    <w:rsid w:val="004C7EF2"/>
    <w:rsid w:val="004D1316"/>
    <w:rsid w:val="004D19B4"/>
    <w:rsid w:val="004D1E12"/>
    <w:rsid w:val="004D25FF"/>
    <w:rsid w:val="004D51F2"/>
    <w:rsid w:val="004E0372"/>
    <w:rsid w:val="004E15E8"/>
    <w:rsid w:val="004E1794"/>
    <w:rsid w:val="004E1836"/>
    <w:rsid w:val="004E242E"/>
    <w:rsid w:val="004E4328"/>
    <w:rsid w:val="004E484F"/>
    <w:rsid w:val="004E4A48"/>
    <w:rsid w:val="004E4ED9"/>
    <w:rsid w:val="004E52C7"/>
    <w:rsid w:val="004E74B8"/>
    <w:rsid w:val="004E770B"/>
    <w:rsid w:val="004F0964"/>
    <w:rsid w:val="004F1BBF"/>
    <w:rsid w:val="004F3D5B"/>
    <w:rsid w:val="004F5E49"/>
    <w:rsid w:val="004F6A98"/>
    <w:rsid w:val="004F7001"/>
    <w:rsid w:val="005008DB"/>
    <w:rsid w:val="00504274"/>
    <w:rsid w:val="00504AD9"/>
    <w:rsid w:val="00505ADE"/>
    <w:rsid w:val="00506A78"/>
    <w:rsid w:val="00510084"/>
    <w:rsid w:val="00510C82"/>
    <w:rsid w:val="0051300F"/>
    <w:rsid w:val="00513B53"/>
    <w:rsid w:val="00514E7F"/>
    <w:rsid w:val="005202C7"/>
    <w:rsid w:val="005227DF"/>
    <w:rsid w:val="0053025C"/>
    <w:rsid w:val="00531263"/>
    <w:rsid w:val="00531E57"/>
    <w:rsid w:val="00532E00"/>
    <w:rsid w:val="005337D3"/>
    <w:rsid w:val="005341E2"/>
    <w:rsid w:val="0053453B"/>
    <w:rsid w:val="005363F6"/>
    <w:rsid w:val="00541663"/>
    <w:rsid w:val="005420BA"/>
    <w:rsid w:val="0054237D"/>
    <w:rsid w:val="00542F7B"/>
    <w:rsid w:val="00543C24"/>
    <w:rsid w:val="005450F8"/>
    <w:rsid w:val="005456C8"/>
    <w:rsid w:val="00545D82"/>
    <w:rsid w:val="005504D6"/>
    <w:rsid w:val="00550945"/>
    <w:rsid w:val="00550EE1"/>
    <w:rsid w:val="0055188B"/>
    <w:rsid w:val="00553F16"/>
    <w:rsid w:val="0055566B"/>
    <w:rsid w:val="00555ADB"/>
    <w:rsid w:val="00556038"/>
    <w:rsid w:val="0056170D"/>
    <w:rsid w:val="0056294F"/>
    <w:rsid w:val="00562A77"/>
    <w:rsid w:val="0056391F"/>
    <w:rsid w:val="00564991"/>
    <w:rsid w:val="005650EA"/>
    <w:rsid w:val="005678A0"/>
    <w:rsid w:val="00570461"/>
    <w:rsid w:val="005704A2"/>
    <w:rsid w:val="00570812"/>
    <w:rsid w:val="005724EE"/>
    <w:rsid w:val="00574318"/>
    <w:rsid w:val="00575B2E"/>
    <w:rsid w:val="005764BB"/>
    <w:rsid w:val="00576871"/>
    <w:rsid w:val="005775E1"/>
    <w:rsid w:val="00577EEE"/>
    <w:rsid w:val="005802FE"/>
    <w:rsid w:val="00580528"/>
    <w:rsid w:val="005826A5"/>
    <w:rsid w:val="00583644"/>
    <w:rsid w:val="00584C38"/>
    <w:rsid w:val="00585116"/>
    <w:rsid w:val="005876A9"/>
    <w:rsid w:val="00587C26"/>
    <w:rsid w:val="00587C63"/>
    <w:rsid w:val="00590CED"/>
    <w:rsid w:val="005910B4"/>
    <w:rsid w:val="00591519"/>
    <w:rsid w:val="005921C2"/>
    <w:rsid w:val="00593907"/>
    <w:rsid w:val="005939D1"/>
    <w:rsid w:val="0059456F"/>
    <w:rsid w:val="00594ED5"/>
    <w:rsid w:val="00595333"/>
    <w:rsid w:val="00597470"/>
    <w:rsid w:val="005A0AFB"/>
    <w:rsid w:val="005A0FCB"/>
    <w:rsid w:val="005A2761"/>
    <w:rsid w:val="005A34FD"/>
    <w:rsid w:val="005A3933"/>
    <w:rsid w:val="005A427F"/>
    <w:rsid w:val="005A467F"/>
    <w:rsid w:val="005A4F67"/>
    <w:rsid w:val="005A520D"/>
    <w:rsid w:val="005A69C3"/>
    <w:rsid w:val="005B04AD"/>
    <w:rsid w:val="005B0743"/>
    <w:rsid w:val="005B0C1E"/>
    <w:rsid w:val="005B14B8"/>
    <w:rsid w:val="005B22C9"/>
    <w:rsid w:val="005B24A6"/>
    <w:rsid w:val="005B2DEA"/>
    <w:rsid w:val="005B3CBA"/>
    <w:rsid w:val="005B5C4C"/>
    <w:rsid w:val="005B5FF7"/>
    <w:rsid w:val="005B66A6"/>
    <w:rsid w:val="005B78D7"/>
    <w:rsid w:val="005C105B"/>
    <w:rsid w:val="005C2D25"/>
    <w:rsid w:val="005C35B7"/>
    <w:rsid w:val="005C37A0"/>
    <w:rsid w:val="005C473B"/>
    <w:rsid w:val="005C5AD4"/>
    <w:rsid w:val="005C5C74"/>
    <w:rsid w:val="005C5CB0"/>
    <w:rsid w:val="005D0727"/>
    <w:rsid w:val="005D188B"/>
    <w:rsid w:val="005D4C7A"/>
    <w:rsid w:val="005D7164"/>
    <w:rsid w:val="005D7488"/>
    <w:rsid w:val="005E025D"/>
    <w:rsid w:val="005E283E"/>
    <w:rsid w:val="005E488D"/>
    <w:rsid w:val="005E58EB"/>
    <w:rsid w:val="005E619A"/>
    <w:rsid w:val="005E619C"/>
    <w:rsid w:val="005E7EEE"/>
    <w:rsid w:val="005F0982"/>
    <w:rsid w:val="005F15CE"/>
    <w:rsid w:val="005F337C"/>
    <w:rsid w:val="005F425B"/>
    <w:rsid w:val="005F437E"/>
    <w:rsid w:val="005F4CF4"/>
    <w:rsid w:val="005F55D4"/>
    <w:rsid w:val="005F56C0"/>
    <w:rsid w:val="005F6ADA"/>
    <w:rsid w:val="00601BCF"/>
    <w:rsid w:val="0060214D"/>
    <w:rsid w:val="00602B8D"/>
    <w:rsid w:val="0060391B"/>
    <w:rsid w:val="00604762"/>
    <w:rsid w:val="006056D7"/>
    <w:rsid w:val="00605BD3"/>
    <w:rsid w:val="0060641D"/>
    <w:rsid w:val="00606B41"/>
    <w:rsid w:val="00611C4A"/>
    <w:rsid w:val="0061590D"/>
    <w:rsid w:val="00617C3F"/>
    <w:rsid w:val="00620163"/>
    <w:rsid w:val="00620620"/>
    <w:rsid w:val="00620B1F"/>
    <w:rsid w:val="00621A1D"/>
    <w:rsid w:val="00623C7D"/>
    <w:rsid w:val="0062538E"/>
    <w:rsid w:val="0063019B"/>
    <w:rsid w:val="00634368"/>
    <w:rsid w:val="00635CFD"/>
    <w:rsid w:val="00641A67"/>
    <w:rsid w:val="00643184"/>
    <w:rsid w:val="00643B88"/>
    <w:rsid w:val="00645972"/>
    <w:rsid w:val="00647D83"/>
    <w:rsid w:val="0065136D"/>
    <w:rsid w:val="00651A82"/>
    <w:rsid w:val="006527D1"/>
    <w:rsid w:val="006545A5"/>
    <w:rsid w:val="00655873"/>
    <w:rsid w:val="00656772"/>
    <w:rsid w:val="00661954"/>
    <w:rsid w:val="00661FB0"/>
    <w:rsid w:val="0066240B"/>
    <w:rsid w:val="00663A5E"/>
    <w:rsid w:val="00666F90"/>
    <w:rsid w:val="00667911"/>
    <w:rsid w:val="00671A0B"/>
    <w:rsid w:val="00671ED5"/>
    <w:rsid w:val="00672F91"/>
    <w:rsid w:val="0067350D"/>
    <w:rsid w:val="00673C7E"/>
    <w:rsid w:val="00674A2F"/>
    <w:rsid w:val="0067541A"/>
    <w:rsid w:val="00675AD7"/>
    <w:rsid w:val="006767FF"/>
    <w:rsid w:val="00676B11"/>
    <w:rsid w:val="00676DD4"/>
    <w:rsid w:val="0067700D"/>
    <w:rsid w:val="0067782A"/>
    <w:rsid w:val="00682B69"/>
    <w:rsid w:val="00682BDD"/>
    <w:rsid w:val="00684E3A"/>
    <w:rsid w:val="0068564B"/>
    <w:rsid w:val="00692A1E"/>
    <w:rsid w:val="0069759A"/>
    <w:rsid w:val="006A0028"/>
    <w:rsid w:val="006A064D"/>
    <w:rsid w:val="006A4D58"/>
    <w:rsid w:val="006A5AE9"/>
    <w:rsid w:val="006A5D08"/>
    <w:rsid w:val="006B10D7"/>
    <w:rsid w:val="006B4289"/>
    <w:rsid w:val="006B506F"/>
    <w:rsid w:val="006B550D"/>
    <w:rsid w:val="006B59B4"/>
    <w:rsid w:val="006B5A95"/>
    <w:rsid w:val="006B6875"/>
    <w:rsid w:val="006B7C54"/>
    <w:rsid w:val="006B7DD0"/>
    <w:rsid w:val="006C0705"/>
    <w:rsid w:val="006C1DA4"/>
    <w:rsid w:val="006C214D"/>
    <w:rsid w:val="006C4947"/>
    <w:rsid w:val="006C690E"/>
    <w:rsid w:val="006D0B76"/>
    <w:rsid w:val="006D3402"/>
    <w:rsid w:val="006D374E"/>
    <w:rsid w:val="006D378F"/>
    <w:rsid w:val="006D45D2"/>
    <w:rsid w:val="006E17EB"/>
    <w:rsid w:val="006E303B"/>
    <w:rsid w:val="006E3327"/>
    <w:rsid w:val="006E55AA"/>
    <w:rsid w:val="006E5722"/>
    <w:rsid w:val="006E7E03"/>
    <w:rsid w:val="006F001C"/>
    <w:rsid w:val="006F0096"/>
    <w:rsid w:val="006F07D7"/>
    <w:rsid w:val="006F3470"/>
    <w:rsid w:val="006F5E63"/>
    <w:rsid w:val="006F66D0"/>
    <w:rsid w:val="006F74BD"/>
    <w:rsid w:val="007012BA"/>
    <w:rsid w:val="0070271A"/>
    <w:rsid w:val="00702941"/>
    <w:rsid w:val="00705D7B"/>
    <w:rsid w:val="007064AC"/>
    <w:rsid w:val="007071A9"/>
    <w:rsid w:val="00707B99"/>
    <w:rsid w:val="007105A1"/>
    <w:rsid w:val="007116ED"/>
    <w:rsid w:val="00713475"/>
    <w:rsid w:val="0071563D"/>
    <w:rsid w:val="00715955"/>
    <w:rsid w:val="00715EA0"/>
    <w:rsid w:val="00716193"/>
    <w:rsid w:val="007167C9"/>
    <w:rsid w:val="00717744"/>
    <w:rsid w:val="00720C6C"/>
    <w:rsid w:val="00730740"/>
    <w:rsid w:val="007319D5"/>
    <w:rsid w:val="00732327"/>
    <w:rsid w:val="007329C5"/>
    <w:rsid w:val="007339B3"/>
    <w:rsid w:val="007349D9"/>
    <w:rsid w:val="00735E64"/>
    <w:rsid w:val="007361FE"/>
    <w:rsid w:val="00736C85"/>
    <w:rsid w:val="00742EA3"/>
    <w:rsid w:val="00747C6D"/>
    <w:rsid w:val="00750725"/>
    <w:rsid w:val="00751C10"/>
    <w:rsid w:val="00751D64"/>
    <w:rsid w:val="007523FD"/>
    <w:rsid w:val="00753880"/>
    <w:rsid w:val="00753A9A"/>
    <w:rsid w:val="0075425F"/>
    <w:rsid w:val="007542E4"/>
    <w:rsid w:val="00754585"/>
    <w:rsid w:val="00754870"/>
    <w:rsid w:val="007548CA"/>
    <w:rsid w:val="00754B63"/>
    <w:rsid w:val="00756299"/>
    <w:rsid w:val="00756A3E"/>
    <w:rsid w:val="0075775F"/>
    <w:rsid w:val="00761F0B"/>
    <w:rsid w:val="007625BB"/>
    <w:rsid w:val="00763333"/>
    <w:rsid w:val="0076398D"/>
    <w:rsid w:val="007642A0"/>
    <w:rsid w:val="00764CDD"/>
    <w:rsid w:val="0076649B"/>
    <w:rsid w:val="00766685"/>
    <w:rsid w:val="00766C9A"/>
    <w:rsid w:val="0077120D"/>
    <w:rsid w:val="0077143C"/>
    <w:rsid w:val="00771B88"/>
    <w:rsid w:val="00772C69"/>
    <w:rsid w:val="00772D8B"/>
    <w:rsid w:val="007740E0"/>
    <w:rsid w:val="0077450E"/>
    <w:rsid w:val="007767E7"/>
    <w:rsid w:val="007768B9"/>
    <w:rsid w:val="00776AD3"/>
    <w:rsid w:val="00782211"/>
    <w:rsid w:val="0078287C"/>
    <w:rsid w:val="007842E2"/>
    <w:rsid w:val="0078473E"/>
    <w:rsid w:val="0078498F"/>
    <w:rsid w:val="00784A1B"/>
    <w:rsid w:val="00786AD3"/>
    <w:rsid w:val="00790494"/>
    <w:rsid w:val="0079128A"/>
    <w:rsid w:val="00792534"/>
    <w:rsid w:val="0079309F"/>
    <w:rsid w:val="00795CE9"/>
    <w:rsid w:val="00796DED"/>
    <w:rsid w:val="007A10CB"/>
    <w:rsid w:val="007A20D1"/>
    <w:rsid w:val="007A27F5"/>
    <w:rsid w:val="007A38C8"/>
    <w:rsid w:val="007A3A98"/>
    <w:rsid w:val="007A3FDE"/>
    <w:rsid w:val="007A477B"/>
    <w:rsid w:val="007A7AA7"/>
    <w:rsid w:val="007B30A0"/>
    <w:rsid w:val="007B32B9"/>
    <w:rsid w:val="007B3501"/>
    <w:rsid w:val="007B375D"/>
    <w:rsid w:val="007B4604"/>
    <w:rsid w:val="007B6CB9"/>
    <w:rsid w:val="007C0E76"/>
    <w:rsid w:val="007C1509"/>
    <w:rsid w:val="007C1F8B"/>
    <w:rsid w:val="007C3629"/>
    <w:rsid w:val="007C490F"/>
    <w:rsid w:val="007C5855"/>
    <w:rsid w:val="007C58FF"/>
    <w:rsid w:val="007C7C57"/>
    <w:rsid w:val="007D0160"/>
    <w:rsid w:val="007D0616"/>
    <w:rsid w:val="007D14CE"/>
    <w:rsid w:val="007D2346"/>
    <w:rsid w:val="007D24F7"/>
    <w:rsid w:val="007D2AAD"/>
    <w:rsid w:val="007D3686"/>
    <w:rsid w:val="007D4BAA"/>
    <w:rsid w:val="007D545E"/>
    <w:rsid w:val="007D5A74"/>
    <w:rsid w:val="007D61F0"/>
    <w:rsid w:val="007E0214"/>
    <w:rsid w:val="007E17CF"/>
    <w:rsid w:val="007E36A2"/>
    <w:rsid w:val="007E3EE9"/>
    <w:rsid w:val="007E40A1"/>
    <w:rsid w:val="007E4BE3"/>
    <w:rsid w:val="007E5A36"/>
    <w:rsid w:val="007E6146"/>
    <w:rsid w:val="007E69A6"/>
    <w:rsid w:val="007E7845"/>
    <w:rsid w:val="007E7C84"/>
    <w:rsid w:val="007F139B"/>
    <w:rsid w:val="007F2599"/>
    <w:rsid w:val="007F2DB0"/>
    <w:rsid w:val="007F5D15"/>
    <w:rsid w:val="007F5EA4"/>
    <w:rsid w:val="007F637F"/>
    <w:rsid w:val="007F703E"/>
    <w:rsid w:val="007F7750"/>
    <w:rsid w:val="007F7876"/>
    <w:rsid w:val="00800C6D"/>
    <w:rsid w:val="0080140E"/>
    <w:rsid w:val="008049AC"/>
    <w:rsid w:val="00805664"/>
    <w:rsid w:val="00805E71"/>
    <w:rsid w:val="00806788"/>
    <w:rsid w:val="00807FB4"/>
    <w:rsid w:val="008101AB"/>
    <w:rsid w:val="00810600"/>
    <w:rsid w:val="00810EB0"/>
    <w:rsid w:val="0081113F"/>
    <w:rsid w:val="008117F1"/>
    <w:rsid w:val="00812675"/>
    <w:rsid w:val="008134EA"/>
    <w:rsid w:val="00813CAA"/>
    <w:rsid w:val="00813D11"/>
    <w:rsid w:val="00816852"/>
    <w:rsid w:val="00816D8E"/>
    <w:rsid w:val="00816E16"/>
    <w:rsid w:val="00820CD8"/>
    <w:rsid w:val="008217FC"/>
    <w:rsid w:val="0082202D"/>
    <w:rsid w:val="0082427B"/>
    <w:rsid w:val="00824600"/>
    <w:rsid w:val="00824F29"/>
    <w:rsid w:val="00825FC8"/>
    <w:rsid w:val="0082683F"/>
    <w:rsid w:val="008303AA"/>
    <w:rsid w:val="00832D69"/>
    <w:rsid w:val="00833CAC"/>
    <w:rsid w:val="008341E8"/>
    <w:rsid w:val="00834AA8"/>
    <w:rsid w:val="00834EBF"/>
    <w:rsid w:val="00835028"/>
    <w:rsid w:val="0083536D"/>
    <w:rsid w:val="00835CF0"/>
    <w:rsid w:val="008362DE"/>
    <w:rsid w:val="00836F99"/>
    <w:rsid w:val="00837B8A"/>
    <w:rsid w:val="00840058"/>
    <w:rsid w:val="008409F2"/>
    <w:rsid w:val="00841841"/>
    <w:rsid w:val="00843395"/>
    <w:rsid w:val="0084472A"/>
    <w:rsid w:val="00846505"/>
    <w:rsid w:val="008467E7"/>
    <w:rsid w:val="00847BAB"/>
    <w:rsid w:val="00850688"/>
    <w:rsid w:val="0085426B"/>
    <w:rsid w:val="00855622"/>
    <w:rsid w:val="0085564A"/>
    <w:rsid w:val="00857E11"/>
    <w:rsid w:val="00860C03"/>
    <w:rsid w:val="00860D70"/>
    <w:rsid w:val="0086101A"/>
    <w:rsid w:val="008614A5"/>
    <w:rsid w:val="00863829"/>
    <w:rsid w:val="008652DA"/>
    <w:rsid w:val="008659C8"/>
    <w:rsid w:val="00867631"/>
    <w:rsid w:val="00870078"/>
    <w:rsid w:val="0087021F"/>
    <w:rsid w:val="0087148A"/>
    <w:rsid w:val="0087468A"/>
    <w:rsid w:val="00875060"/>
    <w:rsid w:val="008753AC"/>
    <w:rsid w:val="00877E4D"/>
    <w:rsid w:val="00877E4E"/>
    <w:rsid w:val="008801EB"/>
    <w:rsid w:val="00881601"/>
    <w:rsid w:val="00881AC2"/>
    <w:rsid w:val="00882039"/>
    <w:rsid w:val="008833F0"/>
    <w:rsid w:val="008836AE"/>
    <w:rsid w:val="0088440C"/>
    <w:rsid w:val="0088497B"/>
    <w:rsid w:val="00884F2A"/>
    <w:rsid w:val="0088713A"/>
    <w:rsid w:val="008901B4"/>
    <w:rsid w:val="008907D0"/>
    <w:rsid w:val="00890FB8"/>
    <w:rsid w:val="0089141D"/>
    <w:rsid w:val="0089217D"/>
    <w:rsid w:val="0089472B"/>
    <w:rsid w:val="008954D3"/>
    <w:rsid w:val="0089688C"/>
    <w:rsid w:val="008A0DF2"/>
    <w:rsid w:val="008A1308"/>
    <w:rsid w:val="008A39E4"/>
    <w:rsid w:val="008A41F2"/>
    <w:rsid w:val="008A49CB"/>
    <w:rsid w:val="008A52F7"/>
    <w:rsid w:val="008A6508"/>
    <w:rsid w:val="008A68AD"/>
    <w:rsid w:val="008A7724"/>
    <w:rsid w:val="008B10E5"/>
    <w:rsid w:val="008B1348"/>
    <w:rsid w:val="008B1728"/>
    <w:rsid w:val="008B45BE"/>
    <w:rsid w:val="008B471E"/>
    <w:rsid w:val="008B51D6"/>
    <w:rsid w:val="008B6D93"/>
    <w:rsid w:val="008B7863"/>
    <w:rsid w:val="008B7B79"/>
    <w:rsid w:val="008C11C2"/>
    <w:rsid w:val="008C1961"/>
    <w:rsid w:val="008C2ADA"/>
    <w:rsid w:val="008C3229"/>
    <w:rsid w:val="008C3BA6"/>
    <w:rsid w:val="008C42E4"/>
    <w:rsid w:val="008C6EE4"/>
    <w:rsid w:val="008C72A6"/>
    <w:rsid w:val="008C7A57"/>
    <w:rsid w:val="008D2016"/>
    <w:rsid w:val="008D2839"/>
    <w:rsid w:val="008D2B0B"/>
    <w:rsid w:val="008D3717"/>
    <w:rsid w:val="008D3B96"/>
    <w:rsid w:val="008D49D5"/>
    <w:rsid w:val="008D6A9B"/>
    <w:rsid w:val="008D790D"/>
    <w:rsid w:val="008E0F6D"/>
    <w:rsid w:val="008E36D6"/>
    <w:rsid w:val="008E39D9"/>
    <w:rsid w:val="008E5830"/>
    <w:rsid w:val="008E6CAC"/>
    <w:rsid w:val="008E7779"/>
    <w:rsid w:val="008F1279"/>
    <w:rsid w:val="008F1524"/>
    <w:rsid w:val="008F2E6E"/>
    <w:rsid w:val="008F5A37"/>
    <w:rsid w:val="008F6AA5"/>
    <w:rsid w:val="00903B3B"/>
    <w:rsid w:val="00905F40"/>
    <w:rsid w:val="009118D4"/>
    <w:rsid w:val="009124AE"/>
    <w:rsid w:val="00912574"/>
    <w:rsid w:val="009125D9"/>
    <w:rsid w:val="009126C0"/>
    <w:rsid w:val="009145C7"/>
    <w:rsid w:val="00916A7B"/>
    <w:rsid w:val="00916B6E"/>
    <w:rsid w:val="00917255"/>
    <w:rsid w:val="009223AE"/>
    <w:rsid w:val="00923666"/>
    <w:rsid w:val="00923CCE"/>
    <w:rsid w:val="00924B59"/>
    <w:rsid w:val="00924CD0"/>
    <w:rsid w:val="00924D42"/>
    <w:rsid w:val="009252B6"/>
    <w:rsid w:val="00925A7E"/>
    <w:rsid w:val="00926453"/>
    <w:rsid w:val="009266D2"/>
    <w:rsid w:val="00927F20"/>
    <w:rsid w:val="0093070C"/>
    <w:rsid w:val="00934D2F"/>
    <w:rsid w:val="00935F1A"/>
    <w:rsid w:val="0094065A"/>
    <w:rsid w:val="00941672"/>
    <w:rsid w:val="00943390"/>
    <w:rsid w:val="0094407D"/>
    <w:rsid w:val="009445D5"/>
    <w:rsid w:val="009446C8"/>
    <w:rsid w:val="009452E8"/>
    <w:rsid w:val="0094600F"/>
    <w:rsid w:val="0094728B"/>
    <w:rsid w:val="00947AA3"/>
    <w:rsid w:val="00947D46"/>
    <w:rsid w:val="009527A4"/>
    <w:rsid w:val="00955720"/>
    <w:rsid w:val="00956187"/>
    <w:rsid w:val="00956BD3"/>
    <w:rsid w:val="00957A9B"/>
    <w:rsid w:val="00960257"/>
    <w:rsid w:val="00962091"/>
    <w:rsid w:val="009623F0"/>
    <w:rsid w:val="00963FAA"/>
    <w:rsid w:val="009651FB"/>
    <w:rsid w:val="0096588D"/>
    <w:rsid w:val="00965BFA"/>
    <w:rsid w:val="00965F2C"/>
    <w:rsid w:val="00966061"/>
    <w:rsid w:val="00967EBA"/>
    <w:rsid w:val="00970D93"/>
    <w:rsid w:val="00974CE4"/>
    <w:rsid w:val="00976843"/>
    <w:rsid w:val="00977D9B"/>
    <w:rsid w:val="0098105E"/>
    <w:rsid w:val="009842D1"/>
    <w:rsid w:val="00984B94"/>
    <w:rsid w:val="009866C3"/>
    <w:rsid w:val="00987A94"/>
    <w:rsid w:val="0099001B"/>
    <w:rsid w:val="00990075"/>
    <w:rsid w:val="00992E86"/>
    <w:rsid w:val="00995F41"/>
    <w:rsid w:val="009960ED"/>
    <w:rsid w:val="00996E2D"/>
    <w:rsid w:val="00996E65"/>
    <w:rsid w:val="009A063F"/>
    <w:rsid w:val="009A284A"/>
    <w:rsid w:val="009A4815"/>
    <w:rsid w:val="009A507D"/>
    <w:rsid w:val="009A58F6"/>
    <w:rsid w:val="009A5B7B"/>
    <w:rsid w:val="009A5CCD"/>
    <w:rsid w:val="009A5D64"/>
    <w:rsid w:val="009A7EFF"/>
    <w:rsid w:val="009B01D6"/>
    <w:rsid w:val="009B04EA"/>
    <w:rsid w:val="009B18BB"/>
    <w:rsid w:val="009B4812"/>
    <w:rsid w:val="009B4A19"/>
    <w:rsid w:val="009B549E"/>
    <w:rsid w:val="009B594A"/>
    <w:rsid w:val="009B5D8F"/>
    <w:rsid w:val="009B773A"/>
    <w:rsid w:val="009B775B"/>
    <w:rsid w:val="009B7CBC"/>
    <w:rsid w:val="009C07C7"/>
    <w:rsid w:val="009C122F"/>
    <w:rsid w:val="009C17B1"/>
    <w:rsid w:val="009C1E4F"/>
    <w:rsid w:val="009C27DD"/>
    <w:rsid w:val="009C452D"/>
    <w:rsid w:val="009C469B"/>
    <w:rsid w:val="009C4747"/>
    <w:rsid w:val="009C4F9B"/>
    <w:rsid w:val="009C5249"/>
    <w:rsid w:val="009C6A92"/>
    <w:rsid w:val="009C7857"/>
    <w:rsid w:val="009D1329"/>
    <w:rsid w:val="009D1E6D"/>
    <w:rsid w:val="009D214D"/>
    <w:rsid w:val="009D3D40"/>
    <w:rsid w:val="009D4830"/>
    <w:rsid w:val="009D49DA"/>
    <w:rsid w:val="009D52E8"/>
    <w:rsid w:val="009D6CD0"/>
    <w:rsid w:val="009D7B08"/>
    <w:rsid w:val="009E1093"/>
    <w:rsid w:val="009E15FA"/>
    <w:rsid w:val="009E1AE9"/>
    <w:rsid w:val="009E2426"/>
    <w:rsid w:val="009E2D62"/>
    <w:rsid w:val="009E38E9"/>
    <w:rsid w:val="009E3E83"/>
    <w:rsid w:val="009E3FAB"/>
    <w:rsid w:val="009E5644"/>
    <w:rsid w:val="009E7E96"/>
    <w:rsid w:val="009E7EA5"/>
    <w:rsid w:val="009F125C"/>
    <w:rsid w:val="009F12CC"/>
    <w:rsid w:val="009F20BF"/>
    <w:rsid w:val="009F2106"/>
    <w:rsid w:val="009F2D4E"/>
    <w:rsid w:val="009F445C"/>
    <w:rsid w:val="009F623B"/>
    <w:rsid w:val="009F664B"/>
    <w:rsid w:val="009F7594"/>
    <w:rsid w:val="00A0112E"/>
    <w:rsid w:val="00A019EF"/>
    <w:rsid w:val="00A0240C"/>
    <w:rsid w:val="00A0336F"/>
    <w:rsid w:val="00A038D7"/>
    <w:rsid w:val="00A03946"/>
    <w:rsid w:val="00A055CF"/>
    <w:rsid w:val="00A063D7"/>
    <w:rsid w:val="00A06407"/>
    <w:rsid w:val="00A1360D"/>
    <w:rsid w:val="00A14610"/>
    <w:rsid w:val="00A14BA8"/>
    <w:rsid w:val="00A17145"/>
    <w:rsid w:val="00A21172"/>
    <w:rsid w:val="00A21630"/>
    <w:rsid w:val="00A2191A"/>
    <w:rsid w:val="00A22BF8"/>
    <w:rsid w:val="00A25AC5"/>
    <w:rsid w:val="00A27B6B"/>
    <w:rsid w:val="00A27C05"/>
    <w:rsid w:val="00A27C4C"/>
    <w:rsid w:val="00A3149B"/>
    <w:rsid w:val="00A330D0"/>
    <w:rsid w:val="00A3339F"/>
    <w:rsid w:val="00A3463D"/>
    <w:rsid w:val="00A34C79"/>
    <w:rsid w:val="00A34FD8"/>
    <w:rsid w:val="00A40591"/>
    <w:rsid w:val="00A41A19"/>
    <w:rsid w:val="00A431F6"/>
    <w:rsid w:val="00A43226"/>
    <w:rsid w:val="00A43959"/>
    <w:rsid w:val="00A439A4"/>
    <w:rsid w:val="00A443AF"/>
    <w:rsid w:val="00A45056"/>
    <w:rsid w:val="00A45EDC"/>
    <w:rsid w:val="00A53711"/>
    <w:rsid w:val="00A544A8"/>
    <w:rsid w:val="00A57066"/>
    <w:rsid w:val="00A60523"/>
    <w:rsid w:val="00A6295E"/>
    <w:rsid w:val="00A639E6"/>
    <w:rsid w:val="00A64EBF"/>
    <w:rsid w:val="00A65395"/>
    <w:rsid w:val="00A70020"/>
    <w:rsid w:val="00A71950"/>
    <w:rsid w:val="00A71CC3"/>
    <w:rsid w:val="00A722A0"/>
    <w:rsid w:val="00A729EF"/>
    <w:rsid w:val="00A741AA"/>
    <w:rsid w:val="00A74A90"/>
    <w:rsid w:val="00A773FA"/>
    <w:rsid w:val="00A805A2"/>
    <w:rsid w:val="00A808EC"/>
    <w:rsid w:val="00A819AB"/>
    <w:rsid w:val="00A83423"/>
    <w:rsid w:val="00A861F0"/>
    <w:rsid w:val="00A862E9"/>
    <w:rsid w:val="00A919BD"/>
    <w:rsid w:val="00A91B36"/>
    <w:rsid w:val="00A94E1F"/>
    <w:rsid w:val="00A952DF"/>
    <w:rsid w:val="00A960A6"/>
    <w:rsid w:val="00A97259"/>
    <w:rsid w:val="00A97A40"/>
    <w:rsid w:val="00AA2BEF"/>
    <w:rsid w:val="00AA3A3E"/>
    <w:rsid w:val="00AA42C7"/>
    <w:rsid w:val="00AA6CFA"/>
    <w:rsid w:val="00AA6DA8"/>
    <w:rsid w:val="00AA7705"/>
    <w:rsid w:val="00AB025A"/>
    <w:rsid w:val="00AB19EB"/>
    <w:rsid w:val="00AB528C"/>
    <w:rsid w:val="00AB5DDA"/>
    <w:rsid w:val="00AB5EAC"/>
    <w:rsid w:val="00AB6D8A"/>
    <w:rsid w:val="00AC3D49"/>
    <w:rsid w:val="00AC5939"/>
    <w:rsid w:val="00AC5C9A"/>
    <w:rsid w:val="00AC6535"/>
    <w:rsid w:val="00AC7EBD"/>
    <w:rsid w:val="00AD0B33"/>
    <w:rsid w:val="00AD2B05"/>
    <w:rsid w:val="00AD3AB0"/>
    <w:rsid w:val="00AD3ECA"/>
    <w:rsid w:val="00AD6170"/>
    <w:rsid w:val="00AD79E4"/>
    <w:rsid w:val="00AE445C"/>
    <w:rsid w:val="00AE4EE4"/>
    <w:rsid w:val="00AF085C"/>
    <w:rsid w:val="00AF0875"/>
    <w:rsid w:val="00AF1361"/>
    <w:rsid w:val="00AF36CB"/>
    <w:rsid w:val="00AF372C"/>
    <w:rsid w:val="00AF66AC"/>
    <w:rsid w:val="00AF7C6F"/>
    <w:rsid w:val="00AF7D75"/>
    <w:rsid w:val="00B015F4"/>
    <w:rsid w:val="00B028EA"/>
    <w:rsid w:val="00B028FA"/>
    <w:rsid w:val="00B036B8"/>
    <w:rsid w:val="00B047BC"/>
    <w:rsid w:val="00B05442"/>
    <w:rsid w:val="00B05890"/>
    <w:rsid w:val="00B05C85"/>
    <w:rsid w:val="00B10DBA"/>
    <w:rsid w:val="00B13A4A"/>
    <w:rsid w:val="00B13EE3"/>
    <w:rsid w:val="00B14536"/>
    <w:rsid w:val="00B14701"/>
    <w:rsid w:val="00B16EE2"/>
    <w:rsid w:val="00B1706D"/>
    <w:rsid w:val="00B17E05"/>
    <w:rsid w:val="00B2087F"/>
    <w:rsid w:val="00B22D45"/>
    <w:rsid w:val="00B23B8A"/>
    <w:rsid w:val="00B27382"/>
    <w:rsid w:val="00B30641"/>
    <w:rsid w:val="00B30CF2"/>
    <w:rsid w:val="00B31664"/>
    <w:rsid w:val="00B31D53"/>
    <w:rsid w:val="00B31DB8"/>
    <w:rsid w:val="00B3234A"/>
    <w:rsid w:val="00B33237"/>
    <w:rsid w:val="00B3506D"/>
    <w:rsid w:val="00B3536C"/>
    <w:rsid w:val="00B358CA"/>
    <w:rsid w:val="00B3787A"/>
    <w:rsid w:val="00B37E35"/>
    <w:rsid w:val="00B418AD"/>
    <w:rsid w:val="00B420D9"/>
    <w:rsid w:val="00B42A99"/>
    <w:rsid w:val="00B44212"/>
    <w:rsid w:val="00B459EA"/>
    <w:rsid w:val="00B52BDC"/>
    <w:rsid w:val="00B533C9"/>
    <w:rsid w:val="00B53EA8"/>
    <w:rsid w:val="00B543D7"/>
    <w:rsid w:val="00B550C1"/>
    <w:rsid w:val="00B55E35"/>
    <w:rsid w:val="00B601E7"/>
    <w:rsid w:val="00B6068A"/>
    <w:rsid w:val="00B625A0"/>
    <w:rsid w:val="00B63BA3"/>
    <w:rsid w:val="00B65427"/>
    <w:rsid w:val="00B66F0E"/>
    <w:rsid w:val="00B67907"/>
    <w:rsid w:val="00B71977"/>
    <w:rsid w:val="00B728D7"/>
    <w:rsid w:val="00B76466"/>
    <w:rsid w:val="00B77279"/>
    <w:rsid w:val="00B779D3"/>
    <w:rsid w:val="00B77BB3"/>
    <w:rsid w:val="00B806E5"/>
    <w:rsid w:val="00B81244"/>
    <w:rsid w:val="00B81B7A"/>
    <w:rsid w:val="00B81D7F"/>
    <w:rsid w:val="00B82759"/>
    <w:rsid w:val="00B82D46"/>
    <w:rsid w:val="00B83D9C"/>
    <w:rsid w:val="00B85DEE"/>
    <w:rsid w:val="00B8720E"/>
    <w:rsid w:val="00B8767D"/>
    <w:rsid w:val="00B87F66"/>
    <w:rsid w:val="00B87FE3"/>
    <w:rsid w:val="00B92E0C"/>
    <w:rsid w:val="00B93DC8"/>
    <w:rsid w:val="00B96C9A"/>
    <w:rsid w:val="00BA0489"/>
    <w:rsid w:val="00BA1EC2"/>
    <w:rsid w:val="00BA2DC1"/>
    <w:rsid w:val="00BA4598"/>
    <w:rsid w:val="00BA4A71"/>
    <w:rsid w:val="00BA5088"/>
    <w:rsid w:val="00BA63FF"/>
    <w:rsid w:val="00BA7E55"/>
    <w:rsid w:val="00BB04CF"/>
    <w:rsid w:val="00BB1255"/>
    <w:rsid w:val="00BB1EB9"/>
    <w:rsid w:val="00BB2592"/>
    <w:rsid w:val="00BB29E8"/>
    <w:rsid w:val="00BB2D85"/>
    <w:rsid w:val="00BB55A1"/>
    <w:rsid w:val="00BB5828"/>
    <w:rsid w:val="00BB60DF"/>
    <w:rsid w:val="00BB6868"/>
    <w:rsid w:val="00BC205B"/>
    <w:rsid w:val="00BC257A"/>
    <w:rsid w:val="00BC2D4E"/>
    <w:rsid w:val="00BC33E6"/>
    <w:rsid w:val="00BC3999"/>
    <w:rsid w:val="00BC61A0"/>
    <w:rsid w:val="00BC624C"/>
    <w:rsid w:val="00BC6DEC"/>
    <w:rsid w:val="00BC7015"/>
    <w:rsid w:val="00BC745C"/>
    <w:rsid w:val="00BC777E"/>
    <w:rsid w:val="00BC7BA3"/>
    <w:rsid w:val="00BD0FFE"/>
    <w:rsid w:val="00BD2884"/>
    <w:rsid w:val="00BD2AD5"/>
    <w:rsid w:val="00BD2BDB"/>
    <w:rsid w:val="00BD2CD0"/>
    <w:rsid w:val="00BD3236"/>
    <w:rsid w:val="00BD4D15"/>
    <w:rsid w:val="00BD7444"/>
    <w:rsid w:val="00BE0D89"/>
    <w:rsid w:val="00BE1F38"/>
    <w:rsid w:val="00BE37FC"/>
    <w:rsid w:val="00BE5172"/>
    <w:rsid w:val="00BE5542"/>
    <w:rsid w:val="00BE7ADE"/>
    <w:rsid w:val="00BF17D9"/>
    <w:rsid w:val="00BF1B12"/>
    <w:rsid w:val="00BF4FC0"/>
    <w:rsid w:val="00BF57C6"/>
    <w:rsid w:val="00BF5860"/>
    <w:rsid w:val="00BF59B8"/>
    <w:rsid w:val="00BF6644"/>
    <w:rsid w:val="00BF66CA"/>
    <w:rsid w:val="00C01A1A"/>
    <w:rsid w:val="00C01FD4"/>
    <w:rsid w:val="00C0239F"/>
    <w:rsid w:val="00C02F75"/>
    <w:rsid w:val="00C04035"/>
    <w:rsid w:val="00C045C5"/>
    <w:rsid w:val="00C067F1"/>
    <w:rsid w:val="00C068C9"/>
    <w:rsid w:val="00C102DD"/>
    <w:rsid w:val="00C10BAE"/>
    <w:rsid w:val="00C11436"/>
    <w:rsid w:val="00C12240"/>
    <w:rsid w:val="00C133BC"/>
    <w:rsid w:val="00C13A52"/>
    <w:rsid w:val="00C13EA2"/>
    <w:rsid w:val="00C14486"/>
    <w:rsid w:val="00C1453D"/>
    <w:rsid w:val="00C17493"/>
    <w:rsid w:val="00C17E10"/>
    <w:rsid w:val="00C21CE1"/>
    <w:rsid w:val="00C24E8B"/>
    <w:rsid w:val="00C257D5"/>
    <w:rsid w:val="00C26808"/>
    <w:rsid w:val="00C275A4"/>
    <w:rsid w:val="00C27A5D"/>
    <w:rsid w:val="00C27C2B"/>
    <w:rsid w:val="00C30BE0"/>
    <w:rsid w:val="00C31E2A"/>
    <w:rsid w:val="00C3212E"/>
    <w:rsid w:val="00C32304"/>
    <w:rsid w:val="00C3368F"/>
    <w:rsid w:val="00C33B88"/>
    <w:rsid w:val="00C33C51"/>
    <w:rsid w:val="00C37456"/>
    <w:rsid w:val="00C41A33"/>
    <w:rsid w:val="00C42591"/>
    <w:rsid w:val="00C4341F"/>
    <w:rsid w:val="00C439AD"/>
    <w:rsid w:val="00C47F99"/>
    <w:rsid w:val="00C52283"/>
    <w:rsid w:val="00C52B37"/>
    <w:rsid w:val="00C52B53"/>
    <w:rsid w:val="00C533F3"/>
    <w:rsid w:val="00C5342E"/>
    <w:rsid w:val="00C54862"/>
    <w:rsid w:val="00C55AE8"/>
    <w:rsid w:val="00C5653C"/>
    <w:rsid w:val="00C567D9"/>
    <w:rsid w:val="00C609C8"/>
    <w:rsid w:val="00C61D21"/>
    <w:rsid w:val="00C61DBC"/>
    <w:rsid w:val="00C63435"/>
    <w:rsid w:val="00C637A2"/>
    <w:rsid w:val="00C63838"/>
    <w:rsid w:val="00C64F86"/>
    <w:rsid w:val="00C651F3"/>
    <w:rsid w:val="00C670AD"/>
    <w:rsid w:val="00C67BD9"/>
    <w:rsid w:val="00C70B91"/>
    <w:rsid w:val="00C74289"/>
    <w:rsid w:val="00C757F7"/>
    <w:rsid w:val="00C75F47"/>
    <w:rsid w:val="00C7671B"/>
    <w:rsid w:val="00C7730E"/>
    <w:rsid w:val="00C80763"/>
    <w:rsid w:val="00C8082B"/>
    <w:rsid w:val="00C81D1F"/>
    <w:rsid w:val="00C846BC"/>
    <w:rsid w:val="00C86A4F"/>
    <w:rsid w:val="00C90E4A"/>
    <w:rsid w:val="00C91ACA"/>
    <w:rsid w:val="00C92A8E"/>
    <w:rsid w:val="00C932D8"/>
    <w:rsid w:val="00C94443"/>
    <w:rsid w:val="00C94B84"/>
    <w:rsid w:val="00C9534B"/>
    <w:rsid w:val="00C95B13"/>
    <w:rsid w:val="00C964A1"/>
    <w:rsid w:val="00C9668C"/>
    <w:rsid w:val="00C973D0"/>
    <w:rsid w:val="00CA09D6"/>
    <w:rsid w:val="00CA1403"/>
    <w:rsid w:val="00CA2CFA"/>
    <w:rsid w:val="00CA4F50"/>
    <w:rsid w:val="00CA522A"/>
    <w:rsid w:val="00CB0134"/>
    <w:rsid w:val="00CB177D"/>
    <w:rsid w:val="00CB42CF"/>
    <w:rsid w:val="00CB4B1F"/>
    <w:rsid w:val="00CB6317"/>
    <w:rsid w:val="00CB6526"/>
    <w:rsid w:val="00CB6D5D"/>
    <w:rsid w:val="00CB6FE1"/>
    <w:rsid w:val="00CB703A"/>
    <w:rsid w:val="00CC055D"/>
    <w:rsid w:val="00CC441D"/>
    <w:rsid w:val="00CC45A1"/>
    <w:rsid w:val="00CC4C7C"/>
    <w:rsid w:val="00CC6D63"/>
    <w:rsid w:val="00CC6F69"/>
    <w:rsid w:val="00CC7096"/>
    <w:rsid w:val="00CC72DD"/>
    <w:rsid w:val="00CC794F"/>
    <w:rsid w:val="00CC7A90"/>
    <w:rsid w:val="00CD1A91"/>
    <w:rsid w:val="00CD27B9"/>
    <w:rsid w:val="00CD5CEE"/>
    <w:rsid w:val="00CD6694"/>
    <w:rsid w:val="00CD699F"/>
    <w:rsid w:val="00CE0CBE"/>
    <w:rsid w:val="00CE216E"/>
    <w:rsid w:val="00CE222B"/>
    <w:rsid w:val="00CE2318"/>
    <w:rsid w:val="00CE2B10"/>
    <w:rsid w:val="00CE41CD"/>
    <w:rsid w:val="00CE4D54"/>
    <w:rsid w:val="00CE63C0"/>
    <w:rsid w:val="00CE6D70"/>
    <w:rsid w:val="00CE72BB"/>
    <w:rsid w:val="00CF0857"/>
    <w:rsid w:val="00CF0B3E"/>
    <w:rsid w:val="00CF19C9"/>
    <w:rsid w:val="00CF3DA1"/>
    <w:rsid w:val="00CF4B5C"/>
    <w:rsid w:val="00D03691"/>
    <w:rsid w:val="00D03756"/>
    <w:rsid w:val="00D03857"/>
    <w:rsid w:val="00D04014"/>
    <w:rsid w:val="00D0771E"/>
    <w:rsid w:val="00D0792F"/>
    <w:rsid w:val="00D1013A"/>
    <w:rsid w:val="00D11C38"/>
    <w:rsid w:val="00D12A80"/>
    <w:rsid w:val="00D13407"/>
    <w:rsid w:val="00D13CF2"/>
    <w:rsid w:val="00D14163"/>
    <w:rsid w:val="00D14A2D"/>
    <w:rsid w:val="00D1698D"/>
    <w:rsid w:val="00D16EAA"/>
    <w:rsid w:val="00D213A4"/>
    <w:rsid w:val="00D21D25"/>
    <w:rsid w:val="00D227F1"/>
    <w:rsid w:val="00D25A84"/>
    <w:rsid w:val="00D312FD"/>
    <w:rsid w:val="00D34229"/>
    <w:rsid w:val="00D34292"/>
    <w:rsid w:val="00D34B61"/>
    <w:rsid w:val="00D3537D"/>
    <w:rsid w:val="00D35E12"/>
    <w:rsid w:val="00D36275"/>
    <w:rsid w:val="00D36813"/>
    <w:rsid w:val="00D4033D"/>
    <w:rsid w:val="00D4140C"/>
    <w:rsid w:val="00D41669"/>
    <w:rsid w:val="00D4258F"/>
    <w:rsid w:val="00D439D4"/>
    <w:rsid w:val="00D44623"/>
    <w:rsid w:val="00D44902"/>
    <w:rsid w:val="00D50235"/>
    <w:rsid w:val="00D50C76"/>
    <w:rsid w:val="00D5156C"/>
    <w:rsid w:val="00D570C8"/>
    <w:rsid w:val="00D571B1"/>
    <w:rsid w:val="00D5738E"/>
    <w:rsid w:val="00D57A60"/>
    <w:rsid w:val="00D57EC2"/>
    <w:rsid w:val="00D60ED6"/>
    <w:rsid w:val="00D61E73"/>
    <w:rsid w:val="00D62594"/>
    <w:rsid w:val="00D62720"/>
    <w:rsid w:val="00D70467"/>
    <w:rsid w:val="00D707A1"/>
    <w:rsid w:val="00D70A0E"/>
    <w:rsid w:val="00D7380E"/>
    <w:rsid w:val="00D739D7"/>
    <w:rsid w:val="00D74C93"/>
    <w:rsid w:val="00D75B3A"/>
    <w:rsid w:val="00D7669A"/>
    <w:rsid w:val="00D8018B"/>
    <w:rsid w:val="00D811FE"/>
    <w:rsid w:val="00D824A1"/>
    <w:rsid w:val="00D82805"/>
    <w:rsid w:val="00D867E0"/>
    <w:rsid w:val="00D90A56"/>
    <w:rsid w:val="00D90E72"/>
    <w:rsid w:val="00D91A49"/>
    <w:rsid w:val="00D922D1"/>
    <w:rsid w:val="00D928C7"/>
    <w:rsid w:val="00D92CF7"/>
    <w:rsid w:val="00D9589F"/>
    <w:rsid w:val="00D969B1"/>
    <w:rsid w:val="00D97830"/>
    <w:rsid w:val="00D97B7A"/>
    <w:rsid w:val="00DA007B"/>
    <w:rsid w:val="00DA057C"/>
    <w:rsid w:val="00DA0E2B"/>
    <w:rsid w:val="00DA7048"/>
    <w:rsid w:val="00DA75E3"/>
    <w:rsid w:val="00DB014D"/>
    <w:rsid w:val="00DB0889"/>
    <w:rsid w:val="00DB3253"/>
    <w:rsid w:val="00DB3661"/>
    <w:rsid w:val="00DB3CA6"/>
    <w:rsid w:val="00DB4E32"/>
    <w:rsid w:val="00DB64D3"/>
    <w:rsid w:val="00DB6E66"/>
    <w:rsid w:val="00DB76EC"/>
    <w:rsid w:val="00DC03AF"/>
    <w:rsid w:val="00DC169A"/>
    <w:rsid w:val="00DC19ED"/>
    <w:rsid w:val="00DC3E4B"/>
    <w:rsid w:val="00DC417A"/>
    <w:rsid w:val="00DC5ED6"/>
    <w:rsid w:val="00DD1645"/>
    <w:rsid w:val="00DD2C0C"/>
    <w:rsid w:val="00DD3029"/>
    <w:rsid w:val="00DD43B6"/>
    <w:rsid w:val="00DD6F11"/>
    <w:rsid w:val="00DD7334"/>
    <w:rsid w:val="00DD7D44"/>
    <w:rsid w:val="00DE10BD"/>
    <w:rsid w:val="00DE1B1D"/>
    <w:rsid w:val="00DE2967"/>
    <w:rsid w:val="00DE29F0"/>
    <w:rsid w:val="00DE332D"/>
    <w:rsid w:val="00DE49CF"/>
    <w:rsid w:val="00DE58EC"/>
    <w:rsid w:val="00DE6967"/>
    <w:rsid w:val="00DE69F9"/>
    <w:rsid w:val="00DE73C1"/>
    <w:rsid w:val="00DE7840"/>
    <w:rsid w:val="00DF17A5"/>
    <w:rsid w:val="00DF612C"/>
    <w:rsid w:val="00E01344"/>
    <w:rsid w:val="00E04A95"/>
    <w:rsid w:val="00E073E8"/>
    <w:rsid w:val="00E077B1"/>
    <w:rsid w:val="00E07ED9"/>
    <w:rsid w:val="00E10892"/>
    <w:rsid w:val="00E11B77"/>
    <w:rsid w:val="00E12B28"/>
    <w:rsid w:val="00E13D6B"/>
    <w:rsid w:val="00E14E4F"/>
    <w:rsid w:val="00E15BA2"/>
    <w:rsid w:val="00E1656D"/>
    <w:rsid w:val="00E17980"/>
    <w:rsid w:val="00E21449"/>
    <w:rsid w:val="00E2194A"/>
    <w:rsid w:val="00E228F8"/>
    <w:rsid w:val="00E23191"/>
    <w:rsid w:val="00E23530"/>
    <w:rsid w:val="00E23903"/>
    <w:rsid w:val="00E24949"/>
    <w:rsid w:val="00E24BD9"/>
    <w:rsid w:val="00E2584A"/>
    <w:rsid w:val="00E259E6"/>
    <w:rsid w:val="00E30158"/>
    <w:rsid w:val="00E3041C"/>
    <w:rsid w:val="00E342B2"/>
    <w:rsid w:val="00E36062"/>
    <w:rsid w:val="00E37CCB"/>
    <w:rsid w:val="00E40245"/>
    <w:rsid w:val="00E40581"/>
    <w:rsid w:val="00E422F9"/>
    <w:rsid w:val="00E424B3"/>
    <w:rsid w:val="00E442FC"/>
    <w:rsid w:val="00E44DFF"/>
    <w:rsid w:val="00E460B7"/>
    <w:rsid w:val="00E51A3F"/>
    <w:rsid w:val="00E52F3C"/>
    <w:rsid w:val="00E53B97"/>
    <w:rsid w:val="00E60EFA"/>
    <w:rsid w:val="00E61E73"/>
    <w:rsid w:val="00E62420"/>
    <w:rsid w:val="00E63689"/>
    <w:rsid w:val="00E65D09"/>
    <w:rsid w:val="00E663A7"/>
    <w:rsid w:val="00E729F9"/>
    <w:rsid w:val="00E7424C"/>
    <w:rsid w:val="00E755E7"/>
    <w:rsid w:val="00E75807"/>
    <w:rsid w:val="00E75BCF"/>
    <w:rsid w:val="00E80704"/>
    <w:rsid w:val="00E8193C"/>
    <w:rsid w:val="00E84D60"/>
    <w:rsid w:val="00E85AAD"/>
    <w:rsid w:val="00E868E4"/>
    <w:rsid w:val="00E87201"/>
    <w:rsid w:val="00E900D3"/>
    <w:rsid w:val="00E91F29"/>
    <w:rsid w:val="00E956E2"/>
    <w:rsid w:val="00E9605F"/>
    <w:rsid w:val="00E97948"/>
    <w:rsid w:val="00EA0F04"/>
    <w:rsid w:val="00EA10D2"/>
    <w:rsid w:val="00EA1AE1"/>
    <w:rsid w:val="00EA2954"/>
    <w:rsid w:val="00EA4309"/>
    <w:rsid w:val="00EA44D4"/>
    <w:rsid w:val="00EA48AD"/>
    <w:rsid w:val="00EA4C9D"/>
    <w:rsid w:val="00EA4FD5"/>
    <w:rsid w:val="00EA5B78"/>
    <w:rsid w:val="00EA63B0"/>
    <w:rsid w:val="00EB23D7"/>
    <w:rsid w:val="00EB268F"/>
    <w:rsid w:val="00EB3A08"/>
    <w:rsid w:val="00EB5AF4"/>
    <w:rsid w:val="00EB6BF5"/>
    <w:rsid w:val="00EC16E0"/>
    <w:rsid w:val="00EC1744"/>
    <w:rsid w:val="00EC3483"/>
    <w:rsid w:val="00EC3B3F"/>
    <w:rsid w:val="00EC4BC8"/>
    <w:rsid w:val="00EC63FD"/>
    <w:rsid w:val="00EC7619"/>
    <w:rsid w:val="00EC78E6"/>
    <w:rsid w:val="00ED0A7C"/>
    <w:rsid w:val="00ED1254"/>
    <w:rsid w:val="00ED12CF"/>
    <w:rsid w:val="00ED3D19"/>
    <w:rsid w:val="00ED3D8B"/>
    <w:rsid w:val="00ED4326"/>
    <w:rsid w:val="00ED62ED"/>
    <w:rsid w:val="00ED69A8"/>
    <w:rsid w:val="00EE03C9"/>
    <w:rsid w:val="00EE041B"/>
    <w:rsid w:val="00EE10C0"/>
    <w:rsid w:val="00EE139E"/>
    <w:rsid w:val="00EE2120"/>
    <w:rsid w:val="00EE3379"/>
    <w:rsid w:val="00EE34C9"/>
    <w:rsid w:val="00EE404E"/>
    <w:rsid w:val="00EE532A"/>
    <w:rsid w:val="00EF034A"/>
    <w:rsid w:val="00EF1843"/>
    <w:rsid w:val="00EF30D1"/>
    <w:rsid w:val="00EF5C09"/>
    <w:rsid w:val="00EF6120"/>
    <w:rsid w:val="00F0181B"/>
    <w:rsid w:val="00F028C4"/>
    <w:rsid w:val="00F03525"/>
    <w:rsid w:val="00F04B9C"/>
    <w:rsid w:val="00F05309"/>
    <w:rsid w:val="00F10358"/>
    <w:rsid w:val="00F117E0"/>
    <w:rsid w:val="00F11935"/>
    <w:rsid w:val="00F133AA"/>
    <w:rsid w:val="00F13629"/>
    <w:rsid w:val="00F136CD"/>
    <w:rsid w:val="00F13750"/>
    <w:rsid w:val="00F1668C"/>
    <w:rsid w:val="00F17011"/>
    <w:rsid w:val="00F17C6B"/>
    <w:rsid w:val="00F20356"/>
    <w:rsid w:val="00F209DB"/>
    <w:rsid w:val="00F2158A"/>
    <w:rsid w:val="00F23B3F"/>
    <w:rsid w:val="00F25AF2"/>
    <w:rsid w:val="00F26CC6"/>
    <w:rsid w:val="00F27991"/>
    <w:rsid w:val="00F301BC"/>
    <w:rsid w:val="00F30CAF"/>
    <w:rsid w:val="00F342B1"/>
    <w:rsid w:val="00F35CB3"/>
    <w:rsid w:val="00F379DA"/>
    <w:rsid w:val="00F40A1E"/>
    <w:rsid w:val="00F4202E"/>
    <w:rsid w:val="00F4233E"/>
    <w:rsid w:val="00F44468"/>
    <w:rsid w:val="00F4646E"/>
    <w:rsid w:val="00F47791"/>
    <w:rsid w:val="00F477BA"/>
    <w:rsid w:val="00F53881"/>
    <w:rsid w:val="00F53A92"/>
    <w:rsid w:val="00F53F94"/>
    <w:rsid w:val="00F548AD"/>
    <w:rsid w:val="00F54E19"/>
    <w:rsid w:val="00F55BDF"/>
    <w:rsid w:val="00F55C2A"/>
    <w:rsid w:val="00F60097"/>
    <w:rsid w:val="00F60694"/>
    <w:rsid w:val="00F6386A"/>
    <w:rsid w:val="00F63A96"/>
    <w:rsid w:val="00F70014"/>
    <w:rsid w:val="00F70297"/>
    <w:rsid w:val="00F71A40"/>
    <w:rsid w:val="00F71F28"/>
    <w:rsid w:val="00F72A62"/>
    <w:rsid w:val="00F73F0A"/>
    <w:rsid w:val="00F73F88"/>
    <w:rsid w:val="00F752D1"/>
    <w:rsid w:val="00F75DCA"/>
    <w:rsid w:val="00F76FC5"/>
    <w:rsid w:val="00F81CDD"/>
    <w:rsid w:val="00F82F45"/>
    <w:rsid w:val="00F83005"/>
    <w:rsid w:val="00F862C2"/>
    <w:rsid w:val="00F87FCA"/>
    <w:rsid w:val="00F91B03"/>
    <w:rsid w:val="00F9295C"/>
    <w:rsid w:val="00F92C61"/>
    <w:rsid w:val="00F931B7"/>
    <w:rsid w:val="00F94E73"/>
    <w:rsid w:val="00F96420"/>
    <w:rsid w:val="00F9693E"/>
    <w:rsid w:val="00F96A3A"/>
    <w:rsid w:val="00F96E8A"/>
    <w:rsid w:val="00FA06ED"/>
    <w:rsid w:val="00FA0727"/>
    <w:rsid w:val="00FA0AB5"/>
    <w:rsid w:val="00FA1200"/>
    <w:rsid w:val="00FA690F"/>
    <w:rsid w:val="00FB0CF0"/>
    <w:rsid w:val="00FB16A9"/>
    <w:rsid w:val="00FB5664"/>
    <w:rsid w:val="00FB64B3"/>
    <w:rsid w:val="00FB6557"/>
    <w:rsid w:val="00FB67BD"/>
    <w:rsid w:val="00FB71AF"/>
    <w:rsid w:val="00FB7C73"/>
    <w:rsid w:val="00FC34B7"/>
    <w:rsid w:val="00FC39C8"/>
    <w:rsid w:val="00FC7559"/>
    <w:rsid w:val="00FC7608"/>
    <w:rsid w:val="00FD0070"/>
    <w:rsid w:val="00FD02CC"/>
    <w:rsid w:val="00FD2F37"/>
    <w:rsid w:val="00FD3117"/>
    <w:rsid w:val="00FD4F7A"/>
    <w:rsid w:val="00FD5308"/>
    <w:rsid w:val="00FD70B0"/>
    <w:rsid w:val="00FE345E"/>
    <w:rsid w:val="00FE37C7"/>
    <w:rsid w:val="00FE459B"/>
    <w:rsid w:val="00FE5164"/>
    <w:rsid w:val="00FE5637"/>
    <w:rsid w:val="00FE5723"/>
    <w:rsid w:val="00FE72D8"/>
    <w:rsid w:val="00FE7AB8"/>
    <w:rsid w:val="00FF005A"/>
    <w:rsid w:val="00FF0C86"/>
    <w:rsid w:val="00FF15CF"/>
    <w:rsid w:val="00FF2596"/>
    <w:rsid w:val="00FF2D1B"/>
    <w:rsid w:val="00FF452B"/>
    <w:rsid w:val="00FF4AD7"/>
    <w:rsid w:val="00FF4B40"/>
    <w:rsid w:val="00FF64FA"/>
    <w:rsid w:val="00FF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A48AD"/>
    <w:rPr>
      <w:rFonts w:hAnsi="Arial Unicode MS" w:cs="Arial Unicode MS"/>
      <w:color w:val="000000"/>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64DCB"/>
    <w:rPr>
      <w:u w:val="single"/>
    </w:rPr>
  </w:style>
  <w:style w:type="table" w:customStyle="1" w:styleId="TableNormal">
    <w:name w:val="Table Normal"/>
    <w:rsid w:val="00264DCB"/>
    <w:tblPr>
      <w:tblInd w:w="0" w:type="dxa"/>
      <w:tblCellMar>
        <w:top w:w="0" w:type="dxa"/>
        <w:left w:w="0" w:type="dxa"/>
        <w:bottom w:w="0" w:type="dxa"/>
        <w:right w:w="0" w:type="dxa"/>
      </w:tblCellMar>
    </w:tblPr>
  </w:style>
  <w:style w:type="paragraph" w:customStyle="1" w:styleId="Intestazioneepidipagina">
    <w:name w:val="Intestazione e piè di pagina"/>
    <w:rsid w:val="00264DCB"/>
    <w:pPr>
      <w:tabs>
        <w:tab w:val="right" w:pos="9020"/>
      </w:tabs>
    </w:pPr>
    <w:rPr>
      <w:rFonts w:ascii="Helvetica" w:hAnsi="Arial Unicode MS" w:cs="Arial Unicode MS"/>
      <w:color w:val="000000"/>
    </w:rPr>
  </w:style>
  <w:style w:type="paragraph" w:styleId="Pidipagina">
    <w:name w:val="footer"/>
    <w:rsid w:val="00264DCB"/>
    <w:pPr>
      <w:tabs>
        <w:tab w:val="center" w:pos="4819"/>
        <w:tab w:val="right" w:pos="9638"/>
      </w:tabs>
      <w:ind w:firstLine="851"/>
      <w:jc w:val="both"/>
    </w:pPr>
    <w:rPr>
      <w:rFonts w:ascii="Verdana" w:hAnsi="Arial Unicode MS" w:cs="Arial Unicode MS"/>
      <w:color w:val="000000"/>
      <w:sz w:val="16"/>
      <w:szCs w:val="16"/>
      <w:u w:color="000000"/>
    </w:rPr>
  </w:style>
  <w:style w:type="paragraph" w:customStyle="1" w:styleId="Stiletabella2">
    <w:name w:val="Stile tabella 2"/>
    <w:rsid w:val="00264DCB"/>
    <w:rPr>
      <w:rFonts w:ascii="Helvetica" w:eastAsia="Helvetica" w:hAnsi="Helvetica" w:cs="Helvetica"/>
      <w:color w:val="000000"/>
    </w:rPr>
  </w:style>
  <w:style w:type="paragraph" w:customStyle="1" w:styleId="Stiletabella1">
    <w:name w:val="Stile tabella 1"/>
    <w:rsid w:val="00264DCB"/>
    <w:rPr>
      <w:rFonts w:ascii="Helvetica" w:eastAsia="Helvetica" w:hAnsi="Helvetica" w:cs="Helvetica"/>
      <w:b/>
      <w:bCs/>
      <w:color w:val="000000"/>
    </w:rPr>
  </w:style>
  <w:style w:type="character" w:styleId="Numeropagina">
    <w:name w:val="page number"/>
    <w:rsid w:val="00264DCB"/>
    <w:rPr>
      <w:lang w:val="it-IT"/>
    </w:rPr>
  </w:style>
  <w:style w:type="paragraph" w:styleId="Paragrafoelenco">
    <w:name w:val="List Paragraph"/>
    <w:uiPriority w:val="34"/>
    <w:qFormat/>
    <w:rsid w:val="00264DCB"/>
    <w:pPr>
      <w:ind w:left="720"/>
    </w:pPr>
    <w:rPr>
      <w:rFonts w:ascii="Arial Unicode MS" w:cs="Arial Unicode MS"/>
      <w:color w:val="000000"/>
      <w:u w:color="000000"/>
    </w:rPr>
  </w:style>
  <w:style w:type="numbering" w:customStyle="1" w:styleId="List0">
    <w:name w:val="List 0"/>
    <w:basedOn w:val="Stileimportato1"/>
    <w:rsid w:val="00264DCB"/>
    <w:pPr>
      <w:numPr>
        <w:numId w:val="20"/>
      </w:numPr>
    </w:pPr>
  </w:style>
  <w:style w:type="numbering" w:customStyle="1" w:styleId="Stileimportato1">
    <w:name w:val="Stile importato 1"/>
    <w:rsid w:val="00264DCB"/>
  </w:style>
  <w:style w:type="numbering" w:customStyle="1" w:styleId="Trattino">
    <w:name w:val="Trattino"/>
    <w:rsid w:val="00264DCB"/>
    <w:pPr>
      <w:numPr>
        <w:numId w:val="36"/>
      </w:numPr>
    </w:pPr>
  </w:style>
  <w:style w:type="numbering" w:customStyle="1" w:styleId="List1">
    <w:name w:val="List 1"/>
    <w:basedOn w:val="Stileimportato2"/>
    <w:rsid w:val="00264DCB"/>
    <w:pPr>
      <w:numPr>
        <w:numId w:val="14"/>
      </w:numPr>
    </w:pPr>
  </w:style>
  <w:style w:type="numbering" w:customStyle="1" w:styleId="Stileimportato2">
    <w:name w:val="Stile importato 2"/>
    <w:rsid w:val="00264DCB"/>
  </w:style>
  <w:style w:type="numbering" w:customStyle="1" w:styleId="Elenco21">
    <w:name w:val="Elenco 21"/>
    <w:basedOn w:val="Stileimportato3"/>
    <w:rsid w:val="00264DCB"/>
    <w:pPr>
      <w:numPr>
        <w:numId w:val="25"/>
      </w:numPr>
    </w:pPr>
  </w:style>
  <w:style w:type="numbering" w:customStyle="1" w:styleId="Stileimportato3">
    <w:name w:val="Stile importato 3"/>
    <w:rsid w:val="00264DCB"/>
  </w:style>
  <w:style w:type="numbering" w:customStyle="1" w:styleId="Elenco31">
    <w:name w:val="Elenco 31"/>
    <w:basedOn w:val="Stileimportato2"/>
    <w:rsid w:val="00264DCB"/>
    <w:pPr>
      <w:numPr>
        <w:numId w:val="27"/>
      </w:numPr>
    </w:pPr>
  </w:style>
  <w:style w:type="character" w:styleId="Rimandocommento">
    <w:name w:val="annotation reference"/>
    <w:basedOn w:val="Carpredefinitoparagrafo"/>
    <w:uiPriority w:val="99"/>
    <w:semiHidden/>
    <w:unhideWhenUsed/>
    <w:rsid w:val="00C94443"/>
    <w:rPr>
      <w:sz w:val="16"/>
      <w:szCs w:val="16"/>
    </w:rPr>
  </w:style>
  <w:style w:type="paragraph" w:styleId="Testocommento">
    <w:name w:val="annotation text"/>
    <w:basedOn w:val="Normale"/>
    <w:link w:val="TestocommentoCarattere"/>
    <w:uiPriority w:val="99"/>
    <w:semiHidden/>
    <w:unhideWhenUsed/>
    <w:rsid w:val="00C94443"/>
    <w:rPr>
      <w:sz w:val="20"/>
      <w:szCs w:val="20"/>
    </w:rPr>
  </w:style>
  <w:style w:type="character" w:customStyle="1" w:styleId="TestocommentoCarattere">
    <w:name w:val="Testo commento Carattere"/>
    <w:basedOn w:val="Carpredefinitoparagrafo"/>
    <w:link w:val="Testocommento"/>
    <w:uiPriority w:val="99"/>
    <w:semiHidden/>
    <w:rsid w:val="00C94443"/>
    <w:rPr>
      <w:rFonts w:hAnsi="Arial Unicode MS" w:cs="Arial Unicode MS"/>
      <w:color w:val="000000"/>
      <w:u w:color="000000"/>
      <w:lang w:eastAsia="en-US"/>
    </w:rPr>
  </w:style>
  <w:style w:type="paragraph" w:styleId="Soggettocommento">
    <w:name w:val="annotation subject"/>
    <w:basedOn w:val="Testocommento"/>
    <w:next w:val="Testocommento"/>
    <w:link w:val="SoggettocommentoCarattere"/>
    <w:uiPriority w:val="99"/>
    <w:semiHidden/>
    <w:unhideWhenUsed/>
    <w:rsid w:val="00C94443"/>
    <w:rPr>
      <w:b/>
      <w:bCs/>
    </w:rPr>
  </w:style>
  <w:style w:type="character" w:customStyle="1" w:styleId="SoggettocommentoCarattere">
    <w:name w:val="Soggetto commento Carattere"/>
    <w:basedOn w:val="TestocommentoCarattere"/>
    <w:link w:val="Soggettocommento"/>
    <w:uiPriority w:val="99"/>
    <w:semiHidden/>
    <w:rsid w:val="00C94443"/>
    <w:rPr>
      <w:rFonts w:hAnsi="Arial Unicode MS" w:cs="Arial Unicode MS"/>
      <w:b/>
      <w:bCs/>
      <w:color w:val="000000"/>
      <w:u w:color="000000"/>
      <w:lang w:eastAsia="en-US"/>
    </w:rPr>
  </w:style>
  <w:style w:type="paragraph" w:styleId="Testofumetto">
    <w:name w:val="Balloon Text"/>
    <w:basedOn w:val="Normale"/>
    <w:link w:val="TestofumettoCarattere"/>
    <w:uiPriority w:val="99"/>
    <w:semiHidden/>
    <w:unhideWhenUsed/>
    <w:rsid w:val="00C944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443"/>
    <w:rPr>
      <w:rFonts w:ascii="Tahoma" w:hAnsi="Tahoma" w:cs="Tahoma"/>
      <w:color w:val="000000"/>
      <w:sz w:val="16"/>
      <w:szCs w:val="16"/>
      <w:u w:color="000000"/>
      <w:lang w:eastAsia="en-US"/>
    </w:rPr>
  </w:style>
  <w:style w:type="paragraph" w:styleId="Testonotaapidipagina">
    <w:name w:val="footnote text"/>
    <w:basedOn w:val="Normale"/>
    <w:link w:val="TestonotaapidipaginaCarattere"/>
    <w:uiPriority w:val="99"/>
    <w:semiHidden/>
    <w:unhideWhenUsed/>
    <w:rsid w:val="00F63A96"/>
  </w:style>
  <w:style w:type="character" w:customStyle="1" w:styleId="TestonotaapidipaginaCarattere">
    <w:name w:val="Testo nota a piè di pagina Carattere"/>
    <w:basedOn w:val="Carpredefinitoparagrafo"/>
    <w:link w:val="Testonotaapidipagina"/>
    <w:uiPriority w:val="99"/>
    <w:semiHidden/>
    <w:rsid w:val="00F63A96"/>
    <w:rPr>
      <w:rFonts w:hAnsi="Arial Unicode MS" w:cs="Arial Unicode MS"/>
      <w:color w:val="000000"/>
      <w:sz w:val="24"/>
      <w:szCs w:val="24"/>
      <w:u w:color="000000"/>
      <w:lang w:eastAsia="en-US"/>
    </w:rPr>
  </w:style>
  <w:style w:type="character" w:styleId="Rimandonotaapidipagina">
    <w:name w:val="footnote reference"/>
    <w:basedOn w:val="Carpredefinitoparagrafo"/>
    <w:uiPriority w:val="99"/>
    <w:unhideWhenUsed/>
    <w:rsid w:val="00F63A96"/>
    <w:rPr>
      <w:vertAlign w:val="superscript"/>
    </w:rPr>
  </w:style>
  <w:style w:type="paragraph" w:styleId="NormaleWeb">
    <w:name w:val="Normal (Web)"/>
    <w:basedOn w:val="Normale"/>
    <w:uiPriority w:val="99"/>
    <w:semiHidden/>
    <w:unhideWhenUsed/>
    <w:rsid w:val="00B71977"/>
    <w:rPr>
      <w:rFonts w:hAnsi="Times New Roman" w:cs="Times New Roman"/>
    </w:rPr>
  </w:style>
  <w:style w:type="paragraph" w:customStyle="1" w:styleId="Paragrafoelenco1">
    <w:name w:val="Paragrafo elenco1"/>
    <w:basedOn w:val="Normale"/>
    <w:rsid w:val="000375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Calibri" w:hAnsi="Times New Roman" w:cs="Times New Roman"/>
      <w:color w:val="auto"/>
      <w:bdr w:val="none" w:sz="0" w:space="0" w:color="auto"/>
      <w:lang w:eastAsia="it-IT"/>
    </w:rPr>
  </w:style>
  <w:style w:type="paragraph" w:styleId="Mappadocumento">
    <w:name w:val="Document Map"/>
    <w:basedOn w:val="Normale"/>
    <w:link w:val="MappadocumentoCarattere"/>
    <w:uiPriority w:val="99"/>
    <w:semiHidden/>
    <w:unhideWhenUsed/>
    <w:rsid w:val="003042BA"/>
    <w:rPr>
      <w:rFonts w:hAnsi="Times New Roman" w:cs="Times New Roman"/>
    </w:rPr>
  </w:style>
  <w:style w:type="character" w:customStyle="1" w:styleId="MappadocumentoCarattere">
    <w:name w:val="Mappa documento Carattere"/>
    <w:basedOn w:val="Carpredefinitoparagrafo"/>
    <w:link w:val="Mappadocumento"/>
    <w:uiPriority w:val="99"/>
    <w:semiHidden/>
    <w:rsid w:val="003042BA"/>
    <w:rPr>
      <w:color w:val="000000"/>
      <w:sz w:val="24"/>
      <w:szCs w:val="24"/>
      <w:u w:color="000000"/>
      <w:lang w:eastAsia="en-US"/>
    </w:rPr>
  </w:style>
  <w:style w:type="paragraph" w:styleId="Revisione">
    <w:name w:val="Revision"/>
    <w:hidden/>
    <w:uiPriority w:val="99"/>
    <w:semiHidden/>
    <w:rsid w:val="003F5E68"/>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03972">
      <w:bodyDiv w:val="1"/>
      <w:marLeft w:val="0"/>
      <w:marRight w:val="0"/>
      <w:marTop w:val="0"/>
      <w:marBottom w:val="0"/>
      <w:divBdr>
        <w:top w:val="none" w:sz="0" w:space="0" w:color="auto"/>
        <w:left w:val="none" w:sz="0" w:space="0" w:color="auto"/>
        <w:bottom w:val="none" w:sz="0" w:space="0" w:color="auto"/>
        <w:right w:val="none" w:sz="0" w:space="0" w:color="auto"/>
      </w:divBdr>
    </w:div>
    <w:div w:id="1637836488">
      <w:bodyDiv w:val="1"/>
      <w:marLeft w:val="0"/>
      <w:marRight w:val="0"/>
      <w:marTop w:val="0"/>
      <w:marBottom w:val="0"/>
      <w:divBdr>
        <w:top w:val="none" w:sz="0" w:space="0" w:color="auto"/>
        <w:left w:val="none" w:sz="0" w:space="0" w:color="auto"/>
        <w:bottom w:val="none" w:sz="0" w:space="0" w:color="auto"/>
        <w:right w:val="none" w:sz="0" w:space="0" w:color="auto"/>
      </w:divBdr>
      <w:divsChild>
        <w:div w:id="219095211">
          <w:marLeft w:val="0"/>
          <w:marRight w:val="0"/>
          <w:marTop w:val="0"/>
          <w:marBottom w:val="0"/>
          <w:divBdr>
            <w:top w:val="none" w:sz="0" w:space="0" w:color="auto"/>
            <w:left w:val="none" w:sz="0" w:space="0" w:color="auto"/>
            <w:bottom w:val="none" w:sz="0" w:space="0" w:color="auto"/>
            <w:right w:val="none" w:sz="0" w:space="0" w:color="auto"/>
          </w:divBdr>
          <w:divsChild>
            <w:div w:id="260571537">
              <w:marLeft w:val="0"/>
              <w:marRight w:val="0"/>
              <w:marTop w:val="0"/>
              <w:marBottom w:val="0"/>
              <w:divBdr>
                <w:top w:val="none" w:sz="0" w:space="0" w:color="auto"/>
                <w:left w:val="none" w:sz="0" w:space="0" w:color="auto"/>
                <w:bottom w:val="none" w:sz="0" w:space="0" w:color="auto"/>
                <w:right w:val="none" w:sz="0" w:space="0" w:color="auto"/>
              </w:divBdr>
              <w:divsChild>
                <w:div w:id="9071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77794">
      <w:bodyDiv w:val="1"/>
      <w:marLeft w:val="0"/>
      <w:marRight w:val="0"/>
      <w:marTop w:val="0"/>
      <w:marBottom w:val="0"/>
      <w:divBdr>
        <w:top w:val="none" w:sz="0" w:space="0" w:color="auto"/>
        <w:left w:val="none" w:sz="0" w:space="0" w:color="auto"/>
        <w:bottom w:val="none" w:sz="0" w:space="0" w:color="auto"/>
        <w:right w:val="none" w:sz="0" w:space="0" w:color="auto"/>
      </w:divBdr>
      <w:divsChild>
        <w:div w:id="142159728">
          <w:marLeft w:val="0"/>
          <w:marRight w:val="0"/>
          <w:marTop w:val="0"/>
          <w:marBottom w:val="0"/>
          <w:divBdr>
            <w:top w:val="none" w:sz="0" w:space="0" w:color="auto"/>
            <w:left w:val="none" w:sz="0" w:space="0" w:color="auto"/>
            <w:bottom w:val="none" w:sz="0" w:space="0" w:color="auto"/>
            <w:right w:val="none" w:sz="0" w:space="0" w:color="auto"/>
          </w:divBdr>
          <w:divsChild>
            <w:div w:id="1804304223">
              <w:marLeft w:val="0"/>
              <w:marRight w:val="0"/>
              <w:marTop w:val="0"/>
              <w:marBottom w:val="0"/>
              <w:divBdr>
                <w:top w:val="none" w:sz="0" w:space="0" w:color="auto"/>
                <w:left w:val="none" w:sz="0" w:space="0" w:color="auto"/>
                <w:bottom w:val="none" w:sz="0" w:space="0" w:color="auto"/>
                <w:right w:val="none" w:sz="0" w:space="0" w:color="auto"/>
              </w:divBdr>
              <w:divsChild>
                <w:div w:id="4654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cono\Desktop\Dott.%20SUCAMELI\FASCICOLI%20CISS\c.%20delibera%20CISS_definitivo_REV%20IAC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68035-F02D-488A-9906-8B6939F8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 delibera CISS_definitivo_REV IAC2</Template>
  <TotalTime>3</TotalTime>
  <Pages>1</Pages>
  <Words>22649</Words>
  <Characters>129104</Characters>
  <Application>Microsoft Office Word</Application>
  <DocSecurity>0</DocSecurity>
  <Lines>1075</Lines>
  <Paragraphs>302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151451</CharactersWithSpaces>
  <SharedDoc>false</SharedDoc>
  <HLinks>
    <vt:vector size="42" baseType="variant">
      <vt:variant>
        <vt:i4>4391007</vt:i4>
      </vt:variant>
      <vt:variant>
        <vt:i4>18</vt:i4>
      </vt:variant>
      <vt:variant>
        <vt:i4>0</vt:i4>
      </vt:variant>
      <vt:variant>
        <vt:i4>5</vt:i4>
      </vt:variant>
      <vt:variant>
        <vt:lpwstr>http://pa.leggiditalia.it/</vt:lpwstr>
      </vt:variant>
      <vt:variant>
        <vt:lpwstr>id=10LX0000143551ART117,__m=document</vt:lpwstr>
      </vt:variant>
      <vt:variant>
        <vt:i4>7798889</vt:i4>
      </vt:variant>
      <vt:variant>
        <vt:i4>15</vt:i4>
      </vt:variant>
      <vt:variant>
        <vt:i4>0</vt:i4>
      </vt:variant>
      <vt:variant>
        <vt:i4>5</vt:i4>
      </vt:variant>
      <vt:variant>
        <vt:lpwstr>http://pa.leggiditalia.it/</vt:lpwstr>
      </vt:variant>
      <vt:variant>
        <vt:lpwstr>id=10LX0000107740ART7,__m=document</vt:lpwstr>
      </vt:variant>
      <vt:variant>
        <vt:i4>7798894</vt:i4>
      </vt:variant>
      <vt:variant>
        <vt:i4>12</vt:i4>
      </vt:variant>
      <vt:variant>
        <vt:i4>0</vt:i4>
      </vt:variant>
      <vt:variant>
        <vt:i4>5</vt:i4>
      </vt:variant>
      <vt:variant>
        <vt:lpwstr>http://pa.leggiditalia.it/</vt:lpwstr>
      </vt:variant>
      <vt:variant>
        <vt:lpwstr>id=10LX0000107740ART0,__m=document</vt:lpwstr>
      </vt:variant>
      <vt:variant>
        <vt:i4>3407900</vt:i4>
      </vt:variant>
      <vt:variant>
        <vt:i4>9</vt:i4>
      </vt:variant>
      <vt:variant>
        <vt:i4>0</vt:i4>
      </vt:variant>
      <vt:variant>
        <vt:i4>5</vt:i4>
      </vt:variant>
      <vt:variant>
        <vt:lpwstr>http://pa.leggiditalia.it/</vt:lpwstr>
      </vt:variant>
      <vt:variant>
        <vt:lpwstr>id=10LX0000107740ART10,__m=document</vt:lpwstr>
      </vt:variant>
      <vt:variant>
        <vt:i4>7602282</vt:i4>
      </vt:variant>
      <vt:variant>
        <vt:i4>6</vt:i4>
      </vt:variant>
      <vt:variant>
        <vt:i4>0</vt:i4>
      </vt:variant>
      <vt:variant>
        <vt:i4>5</vt:i4>
      </vt:variant>
      <vt:variant>
        <vt:lpwstr>http://pa.leggiditalia.it/</vt:lpwstr>
      </vt:variant>
      <vt:variant>
        <vt:lpwstr>id=10LX0000107675ART0,__m=document</vt:lpwstr>
      </vt:variant>
      <vt:variant>
        <vt:i4>8061037</vt:i4>
      </vt:variant>
      <vt:variant>
        <vt:i4>3</vt:i4>
      </vt:variant>
      <vt:variant>
        <vt:i4>0</vt:i4>
      </vt:variant>
      <vt:variant>
        <vt:i4>5</vt:i4>
      </vt:variant>
      <vt:variant>
        <vt:lpwstr>http://pa.leggiditalia.it/</vt:lpwstr>
      </vt:variant>
      <vt:variant>
        <vt:lpwstr>id=10LX0000106397ART0,__m=document</vt:lpwstr>
      </vt:variant>
      <vt:variant>
        <vt:i4>3801116</vt:i4>
      </vt:variant>
      <vt:variant>
        <vt:i4>0</vt:i4>
      </vt:variant>
      <vt:variant>
        <vt:i4>0</vt:i4>
      </vt:variant>
      <vt:variant>
        <vt:i4>5</vt:i4>
      </vt:variant>
      <vt:variant>
        <vt:lpwstr>http://pa.leggiditalia.it/</vt:lpwstr>
      </vt:variant>
      <vt:variant>
        <vt:lpwstr>id=10LX0000106397ART22,__m=document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Iacono Mariella</dc:creator>
  <cp:lastModifiedBy>Montecuollo Beatrice</cp:lastModifiedBy>
  <cp:revision>4</cp:revision>
  <dcterms:created xsi:type="dcterms:W3CDTF">2016-10-17T08:43:00Z</dcterms:created>
  <dcterms:modified xsi:type="dcterms:W3CDTF">2016-10-17T10:18:00Z</dcterms:modified>
</cp:coreProperties>
</file>